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GeschGehG — Missbrauchsverbot</w:t>
      </w:r>
    </w:p>
    <w:p>
      <w:r>
        <w:rPr>
          <w:color w:val="555555"/>
          <w:sz w:val="18"/>
        </w:rPr>
        <w:t xml:space="preserve">Gesetz zum Schutz von Geschäftsgeheimnissen</w:t>
      </w:r>
    </w:p>
    <w:p>
      <w:r>
        <w:rPr>
          <w:color w:val="555555"/>
          <w:sz w:val="18"/>
        </w:rPr>
        <w:t xml:space="preserve">Stand: 10.06.2019 (konsolidierte Textfassung, kein amtliches Inkrafttretensdatum)</w:t>
      </w:r>
    </w:p>
    <w:p>
      <w:r>
        <w:t xml:space="preserve">Die Geltendmachung der Ansprüche nach diesem Gesetz ist unzulässig, wenn sie unter Berücksichtigung der gesamten Umstände missbräuchlich ist. Bei missbräuchlicher Geltendmachung kann der Anspruchsgegner Ersatz der für seine Rechtsverteidigung erforderlichen Aufwendungen verlangen. Weitergehende Ersatzansprüche bleiben unberührt.</w:t>
      </w:r>
    </w:p>
    <w:p>
      <w:r>
        <w:rPr>
          <w:color w:val="555555"/>
          <w:sz w:val="17"/>
        </w:rPr>
        <w:t xml:space="preserve">Zitiervorschlag: § 14 GeschGehG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https://recht.nulegal.eu/gesetze/GeschGehG/14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