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GeschGehG — Anwendungsbereich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dient dem Schutz von Geschäftsgeheimnissen vor unerlaubter Erlangung, Nutzung und Offenlegung.</w:t>
      </w:r>
    </w:p>
    <w:p>
      <w:r>
        <w:t xml:space="preserve">(2) Öffentlich-rechtliche Vorschriften zur Geheimhaltung, Erlangung, Nutzung oder Offenlegung von Geschäftsgeheimnissen gehen vor.</w:t>
      </w:r>
    </w:p>
    <w:p>
      <w:r>
        <w:t xml:space="preserve">(3) Es bleiben unberührt:</w:t>
      </w:r>
    </w:p>
    <w:p>
      <w:pPr>
        <w:ind w:left="420"/>
      </w:pPr>
      <w:r>
        <w:t xml:space="preserve">1. der berufs- und strafrechtliche Schutz von Geschäftsgeheimnissen, deren unbefugte Offenbarung von § 203 des Strafgesetzbuches erfasst wird,</w:t>
      </w:r>
    </w:p>
    <w:p>
      <w:pPr>
        <w:ind w:left="420"/>
      </w:pPr>
      <w:r>
        <w:t xml:space="preserve">2. die Ausübung des Rechts der freien Meinungsäußerung und der Informationsfreiheit nach der Charta der Grundrechte der Europäischen Union (ABl. C 202 vom 7.6.2016, S. 389), einschließlich der Achtung der Freiheit und der Pluralität der Medien,</w:t>
      </w:r>
    </w:p>
    <w:p>
      <w:pPr>
        <w:ind w:left="420"/>
      </w:pPr>
      <w:r>
        <w:t xml:space="preserve">3. die Autonomie der Sozialpartner und ihr Recht, Kollektivverträge nach den bestehenden europäischen und nationalen Vorschriften abzuschließen,</w:t>
      </w:r>
    </w:p>
    <w:p>
      <w:pPr>
        <w:ind w:left="420"/>
      </w:pPr>
      <w:r>
        <w:t xml:space="preserve">4. die Rechte und Pflichten aus dem Arbeitsverhältnis und die Rechte der Arbeitnehmervertretungen.</w:t>
      </w:r>
    </w:p>
    <w:p>
      <w:r>
        <w:rPr>
          <w:color w:val="555555"/>
          <w:sz w:val="17"/>
        </w:rPr>
        <w:t xml:space="preserve">Zitiervorschlag: § 1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