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GesWFachwPrV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Fortbildungsabschluss Geprüfter Fachwirt im Gesundheits- und Sozialwesen und Geprüfte Fachwirtin im Gesundheits- und Sozialwesen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zu prüfende Person nach § 56 Absatz 2 des Berufsbildungsgesetzes von der Ablegung einzelner Prüfungsbestandteile befreit, bleiben diese Prüfungsbestandteile für die Anwendung der §§ 6 und 7 außer Betracht. Für die übrigen Prüfungsbestandteile erhöhen sich die Anteile nach § 6 Absatz 2 Satz 2 oder Absatz 3 Satz 2 entsprechend ihrem Verhältnis zueinander. Allein diese Prüfungsbestandteile sind den Entscheidungen des Prüfungsausschusses zugrunde zu legen.</w:t>
      </w:r>
    </w:p>
    <w:p>
      <w:r>
        <w:rPr>
          <w:color w:val="555555"/>
          <w:sz w:val="17"/>
        </w:rPr>
        <w:t xml:space="preserve">Zitiervorschlag: § 5 GesWFachwPrV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https://recht.nulegal.eu/gesetze/GesWFachwPrV/5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