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GesVSV (Bayern) — Tiergesundheit</w:t>
      </w:r>
    </w:p>
    <w:p>
      <w:r>
        <w:rPr>
          <w:color w:val="555555"/>
          <w:sz w:val="18"/>
        </w:rPr>
        <w:t xml:space="preserve">Gesundheitlicher Verbraucherschutz-Verordnung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Das Staatsministerium ist zuständige Behörde</w:t>
      </w:r>
    </w:p>
    <w:p>
      <w:r>
        <w:t xml:space="preserve">1. nach § 3 Abs. 2 Satz 3 Nr. 3, § 7 Satz 1, § 11 Abs. 3 und § 25 Abs. 3 der Binnenmarkt-Tierseuchenschutzverordnung (BmTierSSchV),</w:t>
      </w:r>
    </w:p>
    <w:p>
      <w:r>
        <w:t xml:space="preserve">2. nach § 7 Abs. 1 Satz 2 der Fischseuchenverordnung,</w:t>
      </w:r>
    </w:p>
    <w:p>
      <w:r>
        <w:t xml:space="preserve">3. nach § 15 Abs. 3, § 33 Abs. 2, § 38 Abs. 2, § 43 Abs. 2 und § 44 Abs. 4 der Viehverkehrsverordnung (ViehVerkV),</w:t>
      </w:r>
    </w:p>
    <w:p>
      <w:r>
        <w:t xml:space="preserve">4. nach Art. 111 der Verordnung (EU) 2016/429 und Art. 42 der Delegierten Verordnung (EU) 2019/2035,</w:t>
      </w:r>
    </w:p>
    <w:p>
      <w:r>
        <w:t xml:space="preserve">5. für die Zulassung von Gesundheitskontrollprogrammen nach Anlage 3 Abschnitt II Nr. 2 Buchst. d der Schweinehaltungshygieneverordnung,</w:t>
      </w:r>
    </w:p>
    <w:p>
      <w:r>
        <w:t xml:space="preserve">6. nach § 20 Abs. 5 und § 21 Abs. 4 Satz 3 der Geflügelpest-Verordnung,</w:t>
      </w:r>
    </w:p>
    <w:p>
      <w:r>
        <w:t xml:space="preserve">7. nach § 2 Abs. 2, § 8 Abs. 3 und § 26 der MKS-Verordnung,</w:t>
      </w:r>
    </w:p>
    <w:p>
      <w:r>
        <w:t xml:space="preserve">8. nach § 2 Abs. 2, § 6 Abs. 1 Satz 2, § 8 Abs. 3, § 11b Abs. 2 Nr. 2, § 14f Abs. 7, § 14h Abs. 5 und § 14k der Schweinepest-Verordnung,</w:t>
      </w:r>
    </w:p>
    <w:p>
      <w:r>
        <w:t xml:space="preserve">9. nach § 36 der Geflügel-Salmonellen-Verordnung (GflSalmoV) und</w:t>
      </w:r>
    </w:p>
    <w:p>
      <w:r>
        <w:t xml:space="preserve">10. für die Beauftragung oder Benennung von Dritten auf dem Gebiet des Tierseuchenrechts zur Durchführung von Bundesrecht sowie unmittelbar geltender Rechtsakte der Europäischen Gemeinschaften.</w:t>
      </w:r>
    </w:p>
    <w:p>
      <w:r>
        <w:t xml:space="preserve">(2) Die Regierungen sind zuständige Behörden</w:t>
      </w:r>
    </w:p>
    <w:p>
      <w:r>
        <w:t xml:space="preserve">1. nach § 3 Nr. 1 und 2 der Tollwut-Verordnung,</w:t>
      </w:r>
    </w:p>
    <w:p>
      <w:r>
        <w:t xml:space="preserve">2. nach § 24 Abs. 2, 8 und 9, § 25 Abs. 3 der MKS-Verordnung und, in Bezug auf die Aufhebung gefährdeter Bezirke, nach § 29 Abs. 2 der MKS-Verordnung,</w:t>
      </w:r>
    </w:p>
    <w:p>
      <w:r>
        <w:t xml:space="preserve">3. nach § 14a Abs. 2, 8 bis 10, § 14d Abs. 2, 2a, 5a, 6 Satz 1 und Abs. 7 der Schweinepest-Verordnung; nach § 14d Abs. 8 der Schweinepest-Verordnung, soweit sie für die entsprechende Anordnung im gefährdeten Gebiet zuständig wäre; nach § 14l der Schweinepest-Verordnung, soweit sie für die entsprechende Maßnahme zuständig wäre; nach § 24 Abs. 1 der Schweinepest-Verordnung, soweit die Schutzmaßregeln von der Regierung angeordnet wurden; nach § 24 Abs. 5 der Schweinepest-Verordnung sowie nach Art. 41 Nr. 1 und 2 der Durchführungsverordnung (EU) 2021/605, soweit auch eine Zuständigkeit für die Zulassung nach Art. 6 Abs. 3 Buchst. b der Verordnung (EG) Nr. 852/2004 in Verbindung mit Art. 4 der Verordnung (EG) Nr. 853/2004 besteht,</w:t>
      </w:r>
    </w:p>
    <w:p>
      <w:r>
        <w:t xml:space="preserve">4. für die Genehmigung und die amtliche Überwachung nach den §§ 3 und 9 der Fischseuchenverordnung, soweit genehmigte Verarbeitungsbetriebe oder Versand- oder Reinigungszentren im Sinne von § 3 Satz 1 Nr. 2 und 3 der Fischseuchenverordnung betroffen sind, für die Erklärung von Schutzgebieten nach § 10 der Fischseuchenverordnung, soweit die Erklärung über das Gebiet einer Kreisverwaltungsbehörde hinausgeht sowie nach § 14 Abs. 4 der Fischseuchenverordnung,</w:t>
      </w:r>
    </w:p>
    <w:p>
      <w:r>
        <w:t xml:space="preserve">5. nach den §§ 2, 6, 7 und 9 der Tierseuchenerreger-Verordnung,</w:t>
      </w:r>
    </w:p>
    <w:p>
      <w:r>
        <w:t xml:space="preserve">6. für die Zulassung nach § 12 Abs. 1, § 13 Abs. 2 Satz 1 Nr. 2, §§ 35 und 36a Abs. 3 BmTierSSchV sowie für das Ruhen der Zulassung nach § 17 BmTierSSchV und</w:t>
      </w:r>
    </w:p>
    <w:p>
      <w:r>
        <w:t xml:space="preserve">7. nach den Art. 95 und 97 der Verordnung (EU) 2016/429.</w:t>
      </w:r>
    </w:p>
    <w:p>
      <w:r>
        <w:t xml:space="preserve">(3) Die Regierung von Oberbayern ist zuständige Behörde</w:t>
      </w:r>
    </w:p>
    <w:p>
      <w:r>
        <w:t xml:space="preserve">1. für die Kontrolle der Einhaltung der Pflichten nach § 2 Abs. 2 GflSalmoV,</w:t>
      </w:r>
    </w:p>
    <w:p>
      <w:r>
        <w:t xml:space="preserve">2. nach § 12 Abs. 1 und 2 TierGesG,</w:t>
      </w:r>
    </w:p>
    <w:p>
      <w:r>
        <w:t xml:space="preserve">3. nach den §§ 3 bis 19, 34, 37 bis 39 der Tierimpfstoff-Verordnung.</w:t>
      </w:r>
    </w:p>
    <w:p>
      <w:r>
        <w:t xml:space="preserve">(4) Zuständige Behörden im Sinne von § 3 Satz 2 der Rinder-Leukose-Verordnung, § 2 Satz 2 der Brucellose-Verordnung, § 11 Abs. 3 der Fischseuchenverordnung, § 8 Abs. 2 Nr. 1 und § 9 Abs. 2 Satz 2 der Geflügelpest-Verordnung, soweit Schutzimpfungen nach § 8 Abs. 2 Nr. 1 der Geflügelpest-Verordnung durchgeführt werden, § 2 Satz 2 der Einhufer-Blutarmut-Verordnung, § 3 Abs. 2 Satz 1 Nr. 1 der Verordnung zum Schutz gegen die Aujeszkysche Krankheit, § 2 Satz 2 der Tuberkulose-Verordnung sowie nach § 2 Abs. 2 Nr. 1 der Verordnung zum Schutz gegen den Milzbrand und den Rauschbrand, sind</w:t>
      </w:r>
    </w:p>
    <w:p>
      <w:r>
        <w:t xml:space="preserve">1. die Regierung von Oberbayern für die Regierungsbezirke Oberbayern, Niederbayern und Schwaben,</w:t>
      </w:r>
    </w:p>
    <w:p>
      <w:r>
        <w:t xml:space="preserve">2. die Regierung von Unterfranken für die Regierungsbezirke Oberpfalz, Oberfranken, Mittelfranken und Unterfranken.</w:t>
      </w:r>
    </w:p>
    <w:p>
      <w:r>
        <w:rPr>
          <w:color w:val="555555"/>
          <w:sz w:val="17"/>
        </w:rPr>
        <w:t xml:space="preserve">Zitiervorschlag: § 5 GesVSV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https://recht.nulegal.eu/gesetze/GesVSV/5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