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GesVSV (Bayern) — Tierische Nebenprodukte</w:t>
      </w:r>
    </w:p>
    <w:p>
      <w:r>
        <w:rPr>
          <w:color w:val="555555"/>
          <w:sz w:val="18"/>
        </w:rPr>
        <w:t xml:space="preserve">Gesundheitlicher Verbraucherschutz-Verordnung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Staatsministerium ist zuständige Behörde</w:t>
      </w:r>
    </w:p>
    <w:p>
      <w:r>
        <w:t xml:space="preserve">1. nach den Art. 26 und 27 Abs. 1 Satz 1 sowie Art. 28 Abs. 1 und 3 der Verordnung (EU) Nr. 142/2011.</w:t>
      </w:r>
    </w:p>
    <w:p>
      <w:r>
        <w:t xml:space="preserve">2. nach Art. 4 Abs. 1 Satzteil vor Buchst. a, Abs. 3 Unterabs. 1 Satzteil vor Buchst. a, Abs. 4 Satzteil vor Buchst. a und Abs. 5 der Delegierten Verordnung (EU) 2019/2122.</w:t>
      </w:r>
    </w:p>
    <w:p>
      <w:r>
        <w:t xml:space="preserve">(2) Die Regierungen sind zuständige Behörden</w:t>
      </w:r>
    </w:p>
    <w:p>
      <w:r>
        <w:t xml:space="preserve">1. nach § 3 Abs. 3 Satz 1 und Abs. 4 des Tierische Nebenprodukte-Beseitigungsgesetzes,</w:t>
      </w:r>
    </w:p>
    <w:p>
      <w:r>
        <w:t xml:space="preserve">2. nach Art. 24 Abs. 1 Buchst. a bis c der Verordnung (EG) Nr. 1069/2009 für alle Kategorien tierischer Nebenprodukte und nach Art. 24 Abs. 1 Buchst. h der Verordnung (EG) Nr. 1069/2009 für die Behandlung von Material der Kategorie 1 oder 2,</w:t>
      </w:r>
    </w:p>
    <w:p>
      <w:r>
        <w:t xml:space="preserve">3. für den Vollzug von Art. 46 Abs. 1 der Verordnung (EG) Nr. 1069/2009 im Fall der Nr. 2 und</w:t>
      </w:r>
    </w:p>
    <w:p>
      <w:r>
        <w:t xml:space="preserve">4. für die Entscheidung über die Einstufung der tierischen Nebenprodukte als Kategorie 1 nach Art. 8 Buchst. a Nr. iv der Verordnung (EG) Nr. 1069/2009, soweit sie nach § 4 Abs. 2 zuständig sind.</w:t>
      </w:r>
    </w:p>
    <w:p>
      <w:r>
        <w:rPr>
          <w:color w:val="555555"/>
          <w:sz w:val="17"/>
        </w:rPr>
        <w:t xml:space="preserve">Zitiervorschlag: § 3 GesVSV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https://recht.nulegal.eu/gesetze/GesVSV/3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