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GesVSV (Bayern) — Futtermittel</w:t>
      </w:r>
    </w:p>
    <w:p>
      <w:r>
        <w:rPr>
          <w:color w:val="555555"/>
          <w:sz w:val="18"/>
        </w:rPr>
        <w:t xml:space="preserve">Gesundheitlicher Verbraucherschutz-Verordnung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Regierung von Oberbayern ist landesweit zuständige Behörde für die Futtermittelüberwachung. Sie ist auch zuständige Behörde für die Zulassung von Ausnahmen nach § 68 Abs. 2 Nr. 4 LFGB, soweit Futtermittel betroffen sind.</w:t>
      </w:r>
    </w:p>
    <w:p>
      <w:r>
        <w:t xml:space="preserve">(2) Zuständig für die Entnahme von Futtermittelproben sind auch die Kreisverwaltungsbehörden.</w:t>
      </w:r>
    </w:p>
    <w:p>
      <w:r>
        <w:rPr>
          <w:color w:val="555555"/>
          <w:sz w:val="17"/>
        </w:rPr>
        <w:t xml:space="preserve">Zitiervorschlag: § 2 GesVSV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https://recht.nulegal.eu/gesetze/GesVSV/2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