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GesVSV (Bayern) — Lebensmittel, Bedarfsgegenstände, kosmetische Mittel, Tabakerzeugnisse und amtliche Laboratorien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für Umwelt und Verbraucherschutz (Staatsministerium) ist zuständige Behörde</w:t>
      </w:r>
    </w:p>
    <w:p>
      <w:r>
        <w:t xml:space="preserve">1. nach § 9 der Lebensmittelhygiene-Verordnung (LMHV), soweit das Bestimmungsland die Zulassung durch die oberste Landesbehörde fordert,</w:t>
      </w:r>
    </w:p>
    <w:p>
      <w:r>
        <w:t xml:space="preserve">2. nach Anhang III Abschnitt III Nr. 1 der Verordnung (EG) Nr. 853/2004 und</w:t>
      </w:r>
    </w:p>
    <w:p>
      <w:r>
        <w:t xml:space="preserve">3. für die Bekanntgabe nach § 22 Abs. 5 Satz 3 des Tabakerzeugnisgesetzes (TabakerzG).</w:t>
      </w:r>
    </w:p>
    <w:p>
      <w:r>
        <w:t xml:space="preserve">(2) Die Regierungen sind zuständige Behörden</w:t>
      </w:r>
    </w:p>
    <w:p>
      <w:r>
        <w:t xml:space="preserve">1. nach Art. 138 Abs. 2 Buchst. j und Art. 148 der Verordnung (EU) 2017/625 für Betriebe, die nach Art. 6 Abs. 3 der Verordnung (EG) Nr. 852/2004 einer Zulassungspflicht unterliegen,</w:t>
      </w:r>
    </w:p>
    <w:p>
      <w:r>
        <w:t xml:space="preserve">2. nach § 9 LMHV, soweit nicht nach Abs. 1 das Staatsministerium oder nach Abs. 3 das Landesamt für Gesundheit und Lebensmittelsicherheit (Landesamt) zuständig ist, und</w:t>
      </w:r>
    </w:p>
    <w:p>
      <w:r>
        <w:t xml:space="preserve">3. nach Art. 18 Abs. 3 der Verordnung (EU) 2017/625 und</w:t>
      </w:r>
    </w:p>
    <w:p>
      <w:r>
        <w:t xml:space="preserve">4. nach Art. 23 des Gesetzes über den gesundheitlichen Verbraucherschutz und das Veterinärwesen (GVVG).</w:t>
      </w:r>
    </w:p>
    <w:p>
      <w:r>
        <w:t xml:space="preserve">(3) Das Landesamt ist zuständige Behörde</w:t>
      </w:r>
    </w:p>
    <w:p>
      <w:r>
        <w:t xml:space="preserve">1. für die Entgegennahme von Anzeigen nach § 3 Satz 1 der Kosmetik-Verordnung,</w:t>
      </w:r>
    </w:p>
    <w:p>
      <w:r>
        <w:t xml:space="preserve">2. nach Art. 37 der Verordnung (EU) 2017/625; es ist zugleich selbst Laboratorium im Sinne des Art. 37 der Verordnung (EU) 2017/625,</w:t>
      </w:r>
    </w:p>
    <w:p>
      <w:r>
        <w:t xml:space="preserve">3. für die Entgegennahme von Mitteilungen, Studien sowie Informationen nach den §§ 6 bis 8, 24, 25 und 29 der Tabakerzeugnisverordnung,</w:t>
      </w:r>
    </w:p>
    <w:p>
      <w:r>
        <w:t xml:space="preserve">4. für die Aufgaben nach § 28 Abs. 1 und 2 TabakerzG; es ist insoweit Marktüberwachungsbehörde,</w:t>
      </w:r>
    </w:p>
    <w:p>
      <w:r>
        <w:t xml:space="preserve">5. nach § 4 Abs. 1 Tier-LMÜV einschließlich der Prüfung nach § 4 Abs. 3 Tier-LMÜV, soweit es sich bei dem Schlachthof um einen Betrieb im Sinne von § 9 Abs. 2 handelt,</w:t>
      </w:r>
    </w:p>
    <w:p>
      <w:r>
        <w:t xml:space="preserve">6. nach Art. 23 GVVG, soweit es sich bei dem Schlachthof um einen Betrieb im Sinne von § 9 Abs. 2 handelt,</w:t>
      </w:r>
    </w:p>
    <w:p>
      <w:r>
        <w:t xml:space="preserve">7. nach § 9 LMHV, soweit es sich um einen Betrieb im Sinne von § 9 Abs. 2 handelt und</w:t>
      </w:r>
    </w:p>
    <w:p>
      <w:r>
        <w:t xml:space="preserve">8. nach § 43a des Lebensmittel- und Futtermittelgesetzbuches (LFGB).</w:t>
      </w:r>
    </w:p>
    <w:p>
      <w:r>
        <w:rPr>
          <w:color w:val="555555"/>
          <w:sz w:val="17"/>
        </w:rPr>
        <w:t xml:space="preserve">Zitiervorschlag: § 1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