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GesVBZV (Brandenburg) — Subsidiarität</w:t>
      </w:r>
    </w:p>
    <w:p>
      <w:r>
        <w:rPr>
          <w:color w:val="555555"/>
          <w:sz w:val="18"/>
        </w:rPr>
        <w:t xml:space="preserve">Gesundheits- und Veterinärberufe-Zuständigkeitsverordnung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Speziellere Zuständigkeitsregelungen anderer Rechtsvorschriften, insbesondere des Hochschulrechts, gehen vor.</w:t>
      </w:r>
    </w:p>
    <w:p>
      <w:r>
        <w:rPr>
          <w:color w:val="555555"/>
          <w:sz w:val="17"/>
        </w:rPr>
        <w:t xml:space="preserve">Zitiervorschlag: § 3 GesVBZV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https://recht.nulegal.eu/gesetze/GesVBZV/3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