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GesVBZV (Brandenburg) — Ordnungswidrigkeiten</w:t>
      </w:r>
    </w:p>
    <w:p>
      <w:r>
        <w:rPr>
          <w:color w:val="555555"/>
          <w:sz w:val="18"/>
        </w:rPr>
        <w:t xml:space="preserve">Gesundheits- und Veterinärberufe-Zuständigkeitsverordnung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nach § 1 zuständigen Behörden sind zuständig für die Verfolgung und Ahndung von Ordnungswidrigkeiten nach den dort genannten Vorschriften.</w:t>
      </w:r>
    </w:p>
    <w:p>
      <w:r>
        <w:rPr>
          <w:color w:val="555555"/>
          <w:sz w:val="17"/>
        </w:rPr>
        <w:t xml:space="preserve">Zitiervorschlag: § 2 GesVBZV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https://recht.nulegal.eu/gesetze/GesVBZV/2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