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GesV (Bayern) — Inkrafttreten, Außerkrafttreten</w:t>
      </w:r>
    </w:p>
    <w:p>
      <w:r>
        <w:rPr>
          <w:color w:val="555555"/>
          <w:sz w:val="18"/>
        </w:rPr>
        <w:t xml:space="preserve">Verordnung über die staatliche Gesundheitsverwaltung und den öffentlichen Gesundheitsschutz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Dezember 2016 in Kraft.</w:t>
      </w:r>
    </w:p>
    <w:p>
      <w:r>
        <w:t xml:space="preserve">(2) § 4a tritt mit Ablauf des 31. Dezember 2025 außer Kraft. § 5 tritt mit Ablauf des 28. Februar 2029 außer Kraft.</w:t>
      </w:r>
    </w:p>
    <w:p>
      <w:r>
        <w:rPr>
          <w:color w:val="555555"/>
          <w:sz w:val="17"/>
        </w:rPr>
        <w:t xml:space="preserve">Zitiervorschlag: § 7 GesV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