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GesV (Bayern) — Übergangsvorschrift</w:t>
      </w:r>
    </w:p>
    <w:p>
      <w:r>
        <w:rPr>
          <w:color w:val="555555"/>
          <w:sz w:val="18"/>
        </w:rPr>
        <w:t xml:space="preserve">Verordnung über die staatliche Gesundheitsverwaltung und den öffentlichen Gesundheitsschutz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Berufungsregelungen mit Lehrstuhlinhabern zur Wahrnehmung der Aufgaben nach § 3 Abs. 1 Nr. 4 in Verbindung mit § 3 Abs. 3, die zum Zeitpunkt des Inkrafttretens dieser Verordnung bereits bestehen, bleiben unberührt.</w:t>
      </w:r>
    </w:p>
    <w:p>
      <w:r>
        <w:rPr>
          <w:color w:val="555555"/>
          <w:sz w:val="17"/>
        </w:rPr>
        <w:t xml:space="preserve">Zitiervorschlag: § 6 GesV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