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GesV (Bayern) — Vollzug der Internationalen Gesundheitsvorschriften</w:t>
      </w:r>
    </w:p>
    <w:p>
      <w:r>
        <w:rPr>
          <w:color w:val="555555"/>
          <w:sz w:val="18"/>
        </w:rPr>
        <w:t xml:space="preserve">Verordnung über die staatliche Gesundheitsverwaltung und den öffentlichen Gesundheitsschutz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Kreisverwaltungsbehörden sind</w:t>
      </w:r>
    </w:p>
    <w:p>
      <w:r>
        <w:t xml:space="preserve">1. zuständig für den Vollzug des Gesetzes zu den Internationalen Gesundheitsvorschriften (2005) und des IGV-Durchführungsgesetzes (IGV-DG) sowie der auf Grund dieser Gesetze erlassenen Verordnungen,</w:t>
      </w:r>
    </w:p>
    <w:p>
      <w:r>
        <w:t xml:space="preserve">2. benannte Stellen nach § 8 Abs. 9 Satz 3 IGV-DG.</w:t>
      </w:r>
    </w:p>
    <w:p>
      <w:r>
        <w:t xml:space="preserve">Soweit sie nicht Gesundheitsamt sind, beteiligen sie das örtlich zuständige Gesundheitsamt.</w:t>
      </w:r>
    </w:p>
    <w:p>
      <w:r>
        <w:t xml:space="preserve">(2) Abweichend von Abs. 1</w:t>
      </w:r>
    </w:p>
    <w:p>
      <w:r>
        <w:t xml:space="preserve">1. sind die Gesundheitsämter zuständiger hafenärztlicher Dienst nach § 2 Abs. 1 Satz 1 und 3 IGV-DG,</w:t>
      </w:r>
    </w:p>
    <w:p>
      <w:r>
        <w:t xml:space="preserve">2. ist die Regierung der Oberpfalz zuständig nach § 7 Abs. 1 IGV-DG,</w:t>
      </w:r>
    </w:p>
    <w:p>
      <w:r>
        <w:t xml:space="preserve">3. ist das LGL zuständig nach § 4 Abs. 2 IGV-DG sowie für den Vollzug des § 8 Abs. 6 IGV-DG und</w:t>
      </w:r>
    </w:p>
    <w:p>
      <w:r>
        <w:t xml:space="preserve">4. ist das Staatsministerium für Gesundheit, Pflege und Prävention oberste Landesgesundheitsbehörde im Sinne des IGV-Durchführungsgesetzes sowie zuständig nach § 8 Abs. 7 Satz 1 und § 13 Abs. 7 Satz 1 IGV-DG.</w:t>
      </w:r>
    </w:p>
    <w:p>
      <w:r>
        <w:rPr>
          <w:color w:val="555555"/>
          <w:sz w:val="17"/>
        </w:rPr>
        <w:t xml:space="preserve">Zitiervorschlag: § 4 GesV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