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GesV (Bayern) — Landesamt für Gesundheit und Lebensmittelsicherheit</w:t>
      </w:r>
    </w:p>
    <w:p>
      <w:r>
        <w:rPr>
          <w:color w:val="555555"/>
          <w:sz w:val="18"/>
        </w:rPr>
        <w:t xml:space="preserve">Verordnung über die staatliche Gesundheitsverwaltung und den öffentlichen Gesundheitsschutz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Landesamt für Gesundheit und Lebensmittelsicherheit (LGL) ist neben den sonst zuständigen Behörden landesweit zuständig</w:t>
      </w:r>
    </w:p>
    <w:p>
      <w:r>
        <w:t xml:space="preserve">1. im Infektionsschutz durch seine Spezialeinheit Infektiologie für</w:t>
      </w:r>
    </w:p>
    <w:p>
      <w:r>
        <w:t xml:space="preserve">a) Maßnahmen zur Verhütung und Bekämpfung von schwerwiegenden übertragbaren Krankheiten von überregionaler Bedeutung</w:t>
      </w:r>
    </w:p>
    <w:p>
      <w:r>
        <w:t xml:space="preserve">aa) an den bayerischen Flughäfen im Sinne von § 1 Abs. 2 Nr. 15 des IGV-Durchführungsgesetzes,</w:t>
      </w:r>
    </w:p>
    <w:p>
      <w:r>
        <w:t xml:space="preserve">bb) an den Häfen Passau und Lindau (Bodensee),</w:t>
      </w:r>
    </w:p>
    <w:p>
      <w:r>
        <w:t xml:space="preserve">b) Maßnahmen bei Ausbrüchen mit pathogenen Krankheitserregern, die hohe Anforderungen an das Infektionsmanagement stellen,</w:t>
      </w:r>
    </w:p>
    <w:p>
      <w:r>
        <w:t xml:space="preserve">c) den Aufbau von Reaktionsfähigkeiten für den Fall einer biologischen Gefahrenlage, um die gesundheitlichen Folgen für die Bevölkerung zu minimieren und das Krisenmanagement der zuständigen Behörden zu unterstützen,</w:t>
      </w:r>
    </w:p>
    <w:p>
      <w:r>
        <w:t xml:space="preserve">2. in der Infektionshygiene durch seine Spezialeinheit Infektionshygiene für</w:t>
      </w:r>
    </w:p>
    <w:p>
      <w:r>
        <w:t xml:space="preserve">a) die überregionale infektionshygienische Überwachung nach den §§ 23 und 36 des Infektionsschutzgesetzes in Einrichtungen nach § 1 Abs. 2 der Bayerischen Medizinhygieneverordnung und</w:t>
      </w:r>
    </w:p>
    <w:p>
      <w:r>
        <w:t xml:space="preserve">b) die Koordination eines landesweiten Netzwerkes und die Unterstützung regionaler Netzwerke der Gesundheitsbehörden, die dieser Überwachung dienen.</w:t>
      </w:r>
    </w:p>
    <w:p>
      <w:r>
        <w:t xml:space="preserve">In den Angelegenheiten nach Satz 1 unterstützt und berät das LGL die zuständigen Behörden fachlich und rechtlich.</w:t>
      </w:r>
    </w:p>
    <w:p>
      <w:r>
        <w:rPr>
          <w:color w:val="555555"/>
          <w:sz w:val="17"/>
        </w:rPr>
        <w:t xml:space="preserve">Zitiervorschlag: § 1 GesV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