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GesRuaCOVBekG — Genossenschaften</w:t>
      </w:r>
    </w:p>
    <w:p>
      <w:r>
        <w:rPr>
          <w:color w:val="555555"/>
          <w:sz w:val="18"/>
        </w:rPr>
        <w:t xml:space="preserve">Gesetz über Maßnahmen im Gesellschafts-, Genossenschafts-, Vereins-, Stiftungs- und Wohnungseigentumsrecht zur Bekämpfung der Auswirkungen der COVID-19-Pandemie</w:t>
      </w:r>
    </w:p>
    <w:p>
      <w:r>
        <w:rPr>
          <w:color w:val="555555"/>
          <w:sz w:val="18"/>
        </w:rPr>
        <w:t xml:space="preserve">Historische Fassung: Stand 01.01.2022 bis 01.09.2022. Dies ist nicht die aktuelle Fassung.</w:t>
      </w:r>
    </w:p>
    <w:p>
      <w:r>
        <w:t xml:space="preserve">(1) Abweichend von § 43 Absatz 7 Satz 1 des Genossenschaftsgesetzes können Beschlüsse der Mitglieder auch dann schriftlich oder elektronisch gefasst werden, wenn dies in der Satzung nicht ausdrücklich zugelassen ist oder die Satzung keine Regelungen zu schriftlichen oder elektronischen Beschlussfassungen einschließlich zu virtuellen Versammlungen enthält; die elektronische Beschlussfassung schließt Beschlussfassungen in Gestalt von virtuellen Generalversammlungen ohne physische Präsenz der Mitglieder ein. Der Vorstand hat in diesem Fall dafür zu sorgen, dass der Niederschrift gemäß § 47 des Genossenschaftsgesetzes ein Verzeichnis der Mitglieder, die an der Beschlussfassung mitgewirkt haben, beigefügt ist. Bei jedem Mitglied, das an der Beschlussfassung, auch in Gestalt einer virtuellen Versammlung, mitgewirkt hat, ist die Art der Stimmabgabe zu vermerken. Die Anfechtung eines Beschlusses der Generalversammlung kann unbeschadet der Regelungen in § 51 Absatz 1 und 2 des Genossenschaftsgesetzes nicht auf Verletzungen des Gesetzes oder der Mitgliederrechte gestützt werden, die auf technische Störungen im Zusammenhang mit der Beschlussfassung nach Satz 1 zurückzuführen sind, es sei denn, der Genossenschaft ist Vorsatz oder grobe Fahrlässigkeit vorzuwerfen. Für Vertreterversammlungen im Sinne des § 43a des Genossenschaftsgesetzes gelten die Sätze 1 bis 4 entsprechend; insbesondere sind auch virtuelle Vertreterversammlungen ohne physische Präsenz der Vertreter ohne entsprechende Regelungen in der Satzung zulässig.</w:t>
      </w:r>
    </w:p>
    <w:p>
      <w:r>
        <w:t xml:space="preserve">(2) Abweichend von § 46 Absatz 1 Satz 1 des Genossenschaftsgesetzes kann die Einberufung im Internet auf der Internetseite der Genossenschaft oder durch unmittelbare Benachrichtigung in Textform erfolgen.</w:t>
      </w:r>
    </w:p>
    <w:p>
      <w:r>
        <w:t xml:space="preserve">(3) Abweichend von § 48 Absatz 1 Satz 1 des Genossenschaftsgesetzes kann die Feststellung des Jahresabschlusses auch durch den Aufsichtsrat erfolgen.</w:t>
      </w:r>
    </w:p>
    <w:p>
      <w:r>
        <w:t xml:space="preserve">(4) Der Vorstand einer Genossenschaft kann mit Zustimmung des Aufsichtsrats nach pflichtgemäßem Ermessen eine Abschlagszahlung auf eine zu erwartende Auszahlung eines Auseinandersetzungsguthabens eines ausgeschiedenen Mitgliedes oder eine an ein Mitglied zu erwartende Dividendenzahlung leisten; § 59 Absatz 2 des Aktiengesetzes gilt entsprechend.</w:t>
      </w:r>
    </w:p>
    <w:p>
      <w:r>
        <w:t xml:space="preserve">(5) Ein Mitglied des Vorstands oder des Aufsichtsrats einer Genossenschaft bleibt auch nach Ablauf seiner Amtszeit bis zur Bestellung seines Nachfolgers im Amt. Die Anzahl der Mitglieder des Vorstands oder des Aufsichtsrats einer Genossenschaft darf weniger als die durch Gesetz oder Satzung bestimmte Mindestzahl betragen.</w:t>
      </w:r>
    </w:p>
    <w:p>
      <w:r>
        <w:t xml:space="preserve">(6) Sitzungen des Vorstands oder des Aufsichtsrats einer Genossenschaft sowie gemeinsame Sitzungen des Vorstands und des Aufsichtsrats können auch ohne Grundlage in der Satzung oder in der Geschäftsordnung im Umlaufverfahren in Textform oder als Telefon- oder Videokonferenz durchgeführt werden.</w:t>
      </w:r>
    </w:p>
    <w:p>
      <w:r>
        <w:rPr>
          <w:color w:val="555555"/>
          <w:sz w:val="17"/>
        </w:rPr>
        <w:t xml:space="preserve">Zitiervorschlag: § 3 GesRuaCOVBekG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https://recht.nulegal.eu/gesetze/GesRuaCOVBekG/3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