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GesRuaCOVBekG — Gesellschaften mit beschränkter Haftung</w:t>
      </w:r>
    </w:p>
    <w:p>
      <w:r>
        <w:rPr>
          <w:color w:val="555555"/>
          <w:sz w:val="18"/>
        </w:rPr>
        <w:t xml:space="preserve">Gesetz über Maßnahmen im Gesellschafts-, Genossenschafts-, Vereins-, Stiftungs- und Wohnungseigentumsrecht zur Bekämpfung der Auswirkungen der COVID-19-Pandemie</w:t>
      </w:r>
    </w:p>
    <w:p>
      <w:r>
        <w:rPr>
          <w:color w:val="555555"/>
          <w:sz w:val="18"/>
        </w:rPr>
        <w:t xml:space="preserve">Historische Fassung: Stand 01.01.2022 bis 01.09.2022. Dies ist nicht die aktuelle Fassung.</w:t>
      </w:r>
    </w:p>
    <w:p>
      <w:r>
        <w:t xml:space="preserve">Abweichend von § 48 Absatz 2 des Gesetzes betreffend die Gesellschaften mit beschränkter Haftung können Beschlüsse der Gesellschafter in Textform oder durch schriftliche Abgabe der Stimmen auch ohne Einverständnis sämtlicher Gesellschafter gefasst werden.</w:t>
      </w:r>
    </w:p>
    <w:p>
      <w:r>
        <w:rPr>
          <w:color w:val="555555"/>
          <w:sz w:val="17"/>
        </w:rPr>
        <w:t xml:space="preserve">Zitiervorschlag: § 2 GesRuaCOVBekG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https://recht.nulegal.eu/gesetze/GesRuaCOVBekG/2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