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GesRV — Bekanntmachungen</w:t>
      </w:r>
    </w:p>
    <w:p>
      <w:r>
        <w:rPr>
          <w:color w:val="555555"/>
          <w:sz w:val="18"/>
        </w:rPr>
        <w:t xml:space="preserve">Gesellschaftsregisterverordnung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Bekanntmachungen erfolgen in dem für das Handelsregister bestimmten Veröffentlichungssystem (§ 10 des Handelsgesetzbuchs). Registerbekanntmachungen im Sinne des § 10 Absatz 3 des Handelsgesetzbuchs sind möglichst nach dem Muster in Anlage 5 abzufassen.</w:t>
      </w:r>
    </w:p>
    <w:p>
      <w:r>
        <w:rPr>
          <w:color w:val="555555"/>
          <w:sz w:val="17"/>
        </w:rPr>
        <w:t xml:space="preserve">Zitiervorschlag: § 5 GesRV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