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GesRV — Anwendung der Handelsregisterverordnung</w:t>
      </w:r>
    </w:p>
    <w:p>
      <w:r>
        <w:rPr>
          <w:color w:val="555555"/>
          <w:sz w:val="18"/>
        </w:rPr>
        <w:t xml:space="preserve">Gesellschaftsregisterverordnung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Für die Einrichtung und Führung des Gesellschaftsregisters ist die Handelsregisterverordnung entsprechend anwendbar, soweit in dieser Verordnung nichts anderes bestimmt ist.</w:t>
      </w:r>
    </w:p>
    <w:p>
      <w:r>
        <w:t xml:space="preserve">(2) Für die entsprechende Anwendung der Handelsregisterverordnung nach Absatz 1 steht die Gesellschaft bürgerlichen Rechts (Gesellschaft) einer offenen Handelsgesellschaft mit den Maßgaben gleich, dass</w:t>
      </w:r>
    </w:p>
    <w:p>
      <w:pPr>
        <w:ind w:left="420"/>
      </w:pPr>
      <w:r>
        <w:t xml:space="preserve">1. an die Stelle der Firma der offenen Handelsgesellschaft der Name der Gesellschaft tritt und</w:t>
      </w:r>
    </w:p>
    <w:p>
      <w:pPr>
        <w:ind w:left="420"/>
      </w:pPr>
      <w:r>
        <w:t xml:space="preserve">2. an die Stelle der persönlich haftenden Gesellschafter der offenen Handelsgesellschaft die Gesellschafter der Gesellschaft treten.</w:t>
      </w:r>
    </w:p>
    <w:p>
      <w:r>
        <w:rPr>
          <w:color w:val="555555"/>
          <w:sz w:val="17"/>
        </w:rPr>
        <w:t xml:space="preserve">Zitiervorschlag: § 1 GesRV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