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GesRGenRCOVMVV — Inkrafttreten, Außerkrafttreten</w:t>
      </w:r>
    </w:p>
    <w:p>
      <w:r>
        <w:rPr>
          <w:color w:val="555555"/>
          <w:sz w:val="18"/>
        </w:rPr>
        <w:t xml:space="preserve">Verordnung zur Verlängerung von Maßnahmen im Gesellschafts-, Genossenschafts-, Vereins- und Stiftungsrecht zur Bekämpfung der Auswirkungen der COVID-19-Pandemie</w:t>
      </w:r>
    </w:p>
    <w:p>
      <w:r>
        <w:rPr>
          <w:color w:val="555555"/>
          <w:sz w:val="18"/>
        </w:rPr>
        <w:t xml:space="preserve">Historische Fassung: Stand 29.10.2020 bis 01.01.2022. Dies ist nicht die aktuelle Fassung.</w:t>
      </w:r>
    </w:p>
    <w:p>
      <w:r>
        <w:t xml:space="preserve">Diese Verordnung tritt am Tag nach der Verkündung in Kraft. Sie tritt mit Ablauf des 31. Dezember 2021 außer Kraft.</w:t>
      </w:r>
    </w:p>
    <w:p>
      <w:r>
        <w:rPr>
          <w:color w:val="555555"/>
          <w:sz w:val="17"/>
        </w:rPr>
        <w:t xml:space="preserve">Zitiervorschlag: § 2 GesRGenRCOVMVV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https://recht.nulegal.eu/gesetze/GesRGenRCOVMVV/2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