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GesLV</w:t>
      </w:r>
    </w:p>
    <w:p>
      <w:r>
        <w:rPr>
          <w:color w:val="555555"/>
          <w:sz w:val="18"/>
        </w:rPr>
        <w:t xml:space="preserve">Gesellschafterlistenverordnung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40 Absatz 4 des Gesetzes betreffend die Gesellschaften mit beschränkter Haftung, der durch Artikel 14 Nummer 3 Buchstabe c des Gesetzes vom 23. Juni 2017 (BGBl. I S. 1822) eingefügt worden ist, 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GesLV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