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GesLV — Übergangsvorschriften</w:t>
      </w:r>
    </w:p>
    <w:p>
      <w:r>
        <w:rPr>
          <w:color w:val="555555"/>
          <w:sz w:val="18"/>
        </w:rPr>
        <w:t xml:space="preserve">Gesellschafterlistenverordnung</w:t>
      </w:r>
    </w:p>
    <w:p>
      <w:r>
        <w:rPr>
          <w:color w:val="555555"/>
          <w:sz w:val="18"/>
        </w:rPr>
        <w:t xml:space="preserve">Stand: 10.06.2019 (konsolidierte Textfassung, kein amtliches Inkrafttretensdatum)</w:t>
      </w:r>
    </w:p>
    <w:p>
      <w:r>
        <w:t xml:space="preserve">Diese Verordnung findet auf vor dem Zeitpunkt des Inkrafttretens dieser Verordnung gegründete Gesellschaften mit beschränkter Haftung mit der Maßgabe Anwendung, dass die in dieser Verordnung bestimmten Anforderungen erst zu beachten sind, wenn aufgrund einer Veränderung nach § 40 Absatz 1 Satz 1 des Gesetzes betreffend die Gesellschaften mit beschränkter Haftung eine Gesellschafterliste einzureichen ist.</w:t>
      </w:r>
    </w:p>
    <w:p>
      <w:r>
        <w:rPr>
          <w:color w:val="555555"/>
          <w:sz w:val="17"/>
        </w:rPr>
        <w:t xml:space="preserve">Zitiervorschlag: § 5 GesLV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https://recht.nulegal.eu/gesetze/GesLV/5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