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GesLV — Wegfallen der Altangaben</w:t>
      </w:r>
    </w:p>
    <w:p>
      <w:r>
        <w:rPr>
          <w:color w:val="555555"/>
          <w:sz w:val="18"/>
        </w:rPr>
        <w:t xml:space="preserve">Gesellschafterlistenverordnung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Liegt eine Veränderung nach § 2 Absatz 1 vor, die zur Vergabe einer neuen Nummer nach § 1 führt, so fallen die bisherige Nummer und die bisherigen Angaben, die in der Gesellschafterliste in Verbindung mit der bisherigen Nummer eingetragen waren, weg.</w:t>
      </w:r>
    </w:p>
    <w:p>
      <w:r>
        <w:rPr>
          <w:color w:val="555555"/>
          <w:sz w:val="17"/>
        </w:rPr>
        <w:t xml:space="preserve">Zitiervorschlag: § 3 GesLV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