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GesLV — Nummerierung von Geschäftsanteilen</w:t>
      </w:r>
    </w:p>
    <w:p>
      <w:r>
        <w:rPr>
          <w:color w:val="555555"/>
          <w:sz w:val="18"/>
        </w:rPr>
        <w:t xml:space="preserve">Gesellschafterlistenverordnung</w:t>
      </w:r>
    </w:p>
    <w:p>
      <w:r>
        <w:rPr>
          <w:color w:val="555555"/>
          <w:sz w:val="18"/>
        </w:rPr>
        <w:t xml:space="preserve">Stand: 10.06.2019 (konsolidierte Textfassung, kein amtliches Inkrafttretensdatum)</w:t>
      </w:r>
    </w:p>
    <w:p>
      <w:r>
        <w:t xml:space="preserve">(1) In der Gesellschafterliste sind die Geschäftsanteile fortlaufend und in eindeutiger Zuordnung zu den Gesellschaftern mit ganzen arabischen Zahlen (Einzelnummern) oder, in den durch diese Verordnung bestimmten Fällen, mit ganzen arabischen Zahlen in dezimaler Gliederung (Abschnittsnummern) zu nummerieren (Nummern). Die numerische Zuordnung von Geschäftsanteilen kann für jeden Gesellschafter zusammengefasst werden. Die Gesellschafterliste kann sowohl nach Geschäftsanteilen als auch nach Gesellschaftern sortiert werden.</w:t>
      </w:r>
    </w:p>
    <w:p>
      <w:r>
        <w:t xml:space="preserve">(2) Eine für einen Geschäftsanteil einmal vergebene Nummer darf nicht für einen anderen Geschäftsanteil verwendet werden (Nummerierungskontinuität). Eine Änderung der Nummern ist nur in den durch diese Verordnung bestimmten Fällen zulässig.</w:t>
      </w:r>
    </w:p>
    <w:p>
      <w:r>
        <w:t xml:space="preserve">(3) Neue Einzelnummern sind zu vergeben, wenn neue Geschäftsanteile geschaffen, Geschäftsanteile zusammengelegt oder Geschäftsanteile geteilt werden. Es muss jeweils die nächste freie ganze arabische Zahl vergeben werden. Werden neue Geschäftsanteile geschaffen oder Geschäftsanteile geteilt, können die neu entstandenen Geschäftsanteile auch durch Abschnittsnummern gekennzeichnet werden; Satz 2 gilt entsprechend.</w:t>
      </w:r>
    </w:p>
    <w:p>
      <w:r>
        <w:t xml:space="preserve">(4) Wenn die Gesellschafterliste aufgrund der bisherigen Nummerierung unübersichtlich würde oder geworden ist, dürfen die Geschäftsanteile in einer Bereinigungsliste abweichend von Absatz 2 Satz 1 nummeriert werden.</w:t>
      </w:r>
    </w:p>
    <w:p>
      <w:r>
        <w:rPr>
          <w:color w:val="555555"/>
          <w:sz w:val="17"/>
        </w:rPr>
        <w:t xml:space="preserve">Zitiervorschlag: § 1 GesLV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https://recht.nulegal.eu/gesetze/GesLV/1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