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GesBergV</w:t>
      </w:r>
    </w:p>
    <w:p>
      <w:r>
        <w:rPr>
          <w:color w:val="555555"/>
          <w:sz w:val="18"/>
        </w:rPr>
        <w:t xml:space="preserve">Gesundheitsschutz-Bergverordnung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65 Nr. 3, des § 66 Satz 1 Nr. 4 Buchstabe a, b, d und e, Nr. 5 und 6, des § 67 Nr. 1 und 8 sowie des § 68 Abs. 2 Nr. 1 und 3 und Abs. 3 Nr. 1 und 3, auch in Verbindung mit § 126 Abs. 1 Satz 1 und Abs. 3 und den §§ 128 und 129 Abs. 1, sowie des § 176 Abs. 3 Satz 3 des Bundesberggesetzes vom 13. August 1980 (BGBl. I S. 1310) verordnet der Bundesminister für Wirtschaft im Einvernehmen mit dem Bundesminister für Arbeit und Sozialordnung und für den Bereich der Küstengewässer im Einvernehmen mit dem Bundesminister für Verkehr:</w:t>
      </w:r>
    </w:p>
    <w:p>
      <w:r>
        <w:rPr>
          <w:color w:val="555555"/>
          <w:sz w:val="17"/>
        </w:rPr>
        <w:t xml:space="preserve">Zitiervorschlag: Eingangsformel GesBergV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https://recht.nulegal.eu/gesetze/GesBergV/eingangsformel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