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GesBergV — Zulässige persönliche Staubbelastungswerte</w:t>
      </w:r>
    </w:p>
    <w:p>
      <w:r>
        <w:rPr>
          <w:color w:val="555555"/>
          <w:sz w:val="18"/>
        </w:rPr>
        <w:t xml:space="preserve">Gesundheitsschutz-Bergverordnung</w:t>
      </w:r>
    </w:p>
    <w:p>
      <w:r>
        <w:rPr>
          <w:color w:val="555555"/>
          <w:sz w:val="18"/>
        </w:rPr>
        <w:t xml:space="preserve">Stand: 10.06.2019 (konsolidierte Textfassung, kein amtliches Inkrafttretensdatum)</w:t>
      </w:r>
    </w:p>
    <w:p>
      <w:r>
        <w:t xml:space="preserve">(1) Der Unternehmer hat sicherzustellen, daß innerhalb eines Beurteilungszeitraumes von zwei Jahren für Personen</w:t>
      </w:r>
    </w:p>
    <w:p>
      <w:pPr>
        <w:ind w:left="420"/>
      </w:pPr>
      <w:r>
        <w:t xml:space="preserve">1. der Eignungsgruppen 1.1 bis 1.3 (Anlage 1) ein persönlicher Staubbelastungswert von 440,</w:t>
      </w:r>
    </w:p>
    <w:p>
      <w:pPr>
        <w:ind w:left="420"/>
      </w:pPr>
      <w:r>
        <w:t xml:space="preserve">2. der Eignungsgruppen 2.1 und 2.2 sowie unter 21 Jahren ein persönlicher Staubbelastungswert von 330</w:t>
      </w:r>
    </w:p>
    <w:p>
      <w:r>
        <w:t xml:space="preserve">auf der Grundlage von 220 Arbeitsschichten im Jahr nicht überschritten wird. Die Verpflichtung des Unternehmers, durch technische und organisatorische Maßnahmen die Staubbelastung so gering wie möglich zu halten, bleibt unberührt.</w:t>
      </w:r>
    </w:p>
    <w:p>
      <w:r>
        <w:t xml:space="preserve">(2) Personen der Eignungsgruppen 4 einschließlich der Untergruppen 4.1 bis 4.5 dürfen unter Tage nicht und über Tage nur mit Arbeiten beschäftigt werden, bei denen sie keinen fibrogenen Stäuben ausgesetzt sind. Die auf Grund der Ergebnisse der Eignungsuntersuchungen festgelegten Beschäftigungsbeschränkungen für Personen der Eignungsgruppe 3 sind einzuhalten. Für Personen über 21 Jahren, die nach über Tage verlegt werden, gelten die zum Zeitpunkt der Verlegung maßgeblichen Nachuntersuchungsfristen weiter.</w:t>
      </w:r>
    </w:p>
    <w:p>
      <w:r>
        <w:t xml:space="preserve">(3) Für Personen, die innerhalb eines Beurteilungszeitraumes aus arbeitsmedizinischen Gründen einer anderen Eignungsgruppe zugeordnet oder 21 Jahre alt werden, verliert die bisherige Zuordnung mit dem Tag der Bekanntgabe der neuen Zuordnung durch den Unternehmer oder am Tag vor demjenigen, an dem sie 21 Jahre alt werden, ihre Gültigkeit.</w:t>
      </w:r>
    </w:p>
    <w:p>
      <w:r>
        <w:t xml:space="preserve">(4) Bei Belastung durch fibrogene Grubenstäube bei Tätigkeiten in Betrieben des Steinkohlenbergbaus sind im Hinblick auf diese Belastung ab dem 24. Oktober 2019 ergänzend die Vorgaben der Gefahrstoffverordnung zu beachten, soweit sich hieraus ein höheres Schutzniveau ergibt.</w:t>
      </w:r>
    </w:p>
    <w:p>
      <w:r>
        <w:rPr>
          <w:color w:val="555555"/>
          <w:sz w:val="17"/>
        </w:rPr>
        <w:t xml:space="preserve">Zitiervorschlag: § 9 GesBergV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https://recht.nulegal.eu/gesetze/GesBergV/9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