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GesBergV — Mitteilung, Aufzeichnung, Aufbewahrung</w:t>
      </w:r>
    </w:p>
    <w:p>
      <w:r>
        <w:rPr>
          <w:color w:val="555555"/>
          <w:sz w:val="18"/>
        </w:rPr>
        <w:t xml:space="preserve">Gesundheitsschutz-Bergverordnung</w:t>
      </w:r>
    </w:p>
    <w:p>
      <w:r>
        <w:rPr>
          <w:color w:val="555555"/>
          <w:sz w:val="18"/>
        </w:rPr>
        <w:t xml:space="preserve">Stand: 10.06.2019 (konsolidierte Textfassung, kein amtliches Inkrafttretensdatum)</w:t>
      </w:r>
    </w:p>
    <w:p>
      <w:r>
        <w:t xml:space="preserve">(1) Der Unternehmer und im Falle des § 4 Absatz 1 Satz 2 der Träger der gesetzlichen Unfallversicherung hat fortlaufend dafür zu sorgen, dass die Ärzte, die die Eignungsuntersuchungen und die nachgehende Vorsorge nach § 4 Absatz 1 Satz 1 durchführen,</w:t>
      </w:r>
    </w:p>
    <w:p>
      <w:pPr>
        <w:ind w:left="420"/>
      </w:pPr>
      <w:r>
        <w:t xml:space="preserve">1. vor Durchführung der Untersuchungen die zu untersuchende Person über die Inhalte, den Zweck und eventuelle Risiken der Untersuchung aufklären,</w:t>
      </w:r>
    </w:p>
    <w:p>
      <w:pPr>
        <w:ind w:left="420"/>
      </w:pPr>
      <w:r>
        <w:t xml:space="preserve">2. das Ergebnis der Untersuchungen den Untersuchten mitteilen und</w:t>
      </w:r>
    </w:p>
    <w:p>
      <w:pPr>
        <w:ind w:left="420"/>
      </w:pPr>
      <w:r>
        <w:t xml:space="preserve">3. Aufzeichnungen über Ergebnis und Befunde der durchgeführten Untersuchungen führen.</w:t>
      </w:r>
    </w:p>
    <w:p>
      <w:r>
        <w:t xml:space="preserve">Die Aufzeichnungen dürfen mit Hilfe der automatisierten Datenverarbeitung vorgenommen werden, wenn jede Veränderung nach Aufnahme in die Datenverarbeitung schriftlich dokumentiert wird.</w:t>
      </w:r>
    </w:p>
    <w:p>
      <w:r>
        <w:t xml:space="preserve">(2) Der Unternehmer hat dafür zu sorgen, dass die Ärzte, die die Eignungsuntersuchungen durchführen, die Aufzeichnungen nach Absatz 1 Satz 1 Nummer 3 mindestens zehn Jahre nach der letzten Eignungsuntersuchung aufbewahren. Bei Eignungsuntersuchungen für Tätigkeiten im untertägigen Steinkohlenbergbau sowie in anderen untertägigen Betrieben, in denen fibrogene Grubenstäube auftreten können, sowie bei der nachgehenden Vorsorge nach § 4 Absatz 1 Satz 1 hat er sicherzustellen, dass die Aufzeichnungen nach Absatz 1 Satz 1 Nummer 3 mindestens 40 Jahre nach der letzten nachgehenden Vorsorge und höchstens bis zum 31. Dezember des 40. Jahres nach der letzten Exposition gegenüber fibrogenen Grubenstäuben oder höchstens bis zehn Jahre nach dem Tod der beschäftigten Person aufbewahrt werden. Die Aufzeichnungen sind so aufzubewahren, dass Unbefugte keinen Zugang zu ihnen haben. Unbefugten Dritten dürfen sie nicht offenbart werden. Die Verpflichtung des Unternehmers nach Satz 2 gilt im Hinblick auf Aufzeichnungen über die nachgehende Vorsorge nach § 4 Absatz 1 Satz 1 als erfüllt, wenn die Aufzeichnungen von einem Träger der gesetzlichen Unfallversicherung zum Zweck der gesundheitlichen Überwachung und Verbesserung des Gesundheitsschutzes aufbewahrt werden. Nach Ablauf der in Satz 1 oder Satz 2 bestimmten Fristen sind die Aufzeichnungen zu vernichten.</w:t>
      </w:r>
    </w:p>
    <w:p>
      <w:r>
        <w:rPr>
          <w:color w:val="555555"/>
          <w:sz w:val="17"/>
        </w:rPr>
        <w:t xml:space="preserve">Zitiervorschlag: § 6 GesBergV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https://recht.nulegal.eu/gesetze/GesBergV/6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