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GesBergV — Eignungsuntersuchungen</w:t>
      </w:r>
    </w:p>
    <w:p>
      <w:r>
        <w:rPr>
          <w:color w:val="555555"/>
          <w:sz w:val="18"/>
        </w:rPr>
        <w:t xml:space="preserve">Gesundheitsschutz-Bergverordnung</w:t>
      </w:r>
    </w:p>
    <w:p>
      <w:r>
        <w:rPr>
          <w:color w:val="555555"/>
          <w:sz w:val="18"/>
        </w:rPr>
        <w:t xml:space="preserve">Stand: 10.06.2019 (konsolidierte Textfassung, kein amtliches Inkrafttretensdatum)</w:t>
      </w:r>
    </w:p>
    <w:p>
      <w:r>
        <w:t xml:space="preserve">(1) Der Unternehmer hat sicherzustellen, dass folgende Personen bei Tätigkeiten in Betrieben nach § 1 nur beschäftigt werden, soweit nach dem Ergebnis ärztlicher Eignungsuntersuchungen gesundheitliche Bedenken gegen die Art der vorgesehenen Tätigkeiten nicht bestehen und dem Unternehmer hierüber eine ärztliche Bescheinigung mit Angabe einer Eignungsgruppe nach Anlage 1 vorliegt:</w:t>
      </w:r>
    </w:p>
    <w:p>
      <w:pPr>
        <w:ind w:left="420"/>
      </w:pPr>
      <w:r>
        <w:t xml:space="preserve">1. Personen, die Tätigkeiten unter Tage durchführen,</w:t>
      </w:r>
    </w:p>
    <w:p>
      <w:pPr>
        <w:ind w:left="420"/>
      </w:pPr>
      <w:r>
        <w:t xml:space="preserve">2. Personen, die bei ihrem Einsatz Atemschutzgeräte der Gruppe 2 oder der Gruppe 3 mit einem Atemwiderstand von mehr als 5 Millibar und einem Gewicht von mindestens 3 Kilogramm tragen müssen, insbesondere im Rahmen der Grubenrettung oder als Mitglied einer Betriebsfeuerwehr oder Gasschutzwehr,</w:t>
      </w:r>
    </w:p>
    <w:p>
      <w:pPr>
        <w:ind w:left="420"/>
      </w:pPr>
      <w:r>
        <w:t xml:space="preserve">3. Personen, die Fördermaschinen bedienen,</w:t>
      </w:r>
    </w:p>
    <w:p>
      <w:pPr>
        <w:ind w:left="420"/>
      </w:pPr>
      <w:r>
        <w:t xml:space="preserve">4. Personen, die Triebfahrzeuge im Werk- und Anschlussbahnbereich selbständig führen,</w:t>
      </w:r>
    </w:p>
    <w:p>
      <w:pPr>
        <w:ind w:left="420"/>
      </w:pPr>
      <w:r>
        <w:t xml:space="preserve">5. Personen, die im Braunkohlenbergbau oder im Bereich von Halden Großgeräte wie insbesondere Schaufelradbagger, Bandabsetzer oder Großlader selbständig führen,</w:t>
      </w:r>
    </w:p>
    <w:p>
      <w:pPr>
        <w:ind w:left="420"/>
      </w:pPr>
      <w:r>
        <w:t xml:space="preserve">6. Personen, die Arbeiten mit Absturzgefahr in großer Höhe insbesondere auf Bohrtürmen, Gerüsten oder in Schächten durchführen und dabei nicht durchgehend, insbesondere bei einem Standortwechsel durch Sicherheitsausrüstung gegen Absturz gesichert werden können, sowie</w:t>
      </w:r>
    </w:p>
    <w:p>
      <w:pPr>
        <w:ind w:left="420"/>
      </w:pPr>
      <w:r>
        <w:t xml:space="preserve">7. Personen, die Unterwasserarbeiten durchführen, bei denen sie über ein Tauchgerät mit Atemgas versorgt werden, sowie Personen, die als Taucheinsatzleiter, Signalperson oder Taucherhelfer tätig sind.</w:t>
      </w:r>
    </w:p>
    <w:p>
      <w:r>
        <w:t xml:space="preserve">Beschäftigt sind Personen nach Satz 1, wenn sie als Arbeitnehmer des Unternehmers, als beauftragte Dritte oder als Arbeitnehmer von beauftragten Dritten bei einer Tätigkeit nach Satz 1 eingesetzt werden. Zu den Eignungsuntersuchungen zählen Erstuntersuchungen nach § 3 Absatz 1 und Nachuntersuchungen nach § 3 Absatz 2. Soweit eine Person eine Tätigkeit durchführt, die unter mehrere Nummern nach Satz 1 fällt, ist die Eignungsuntersuchung für diese Person nach allen einschlägigen Nummern durchzuführen.</w:t>
      </w:r>
    </w:p>
    <w:p>
      <w:r>
        <w:t xml:space="preserve">(2) Bei den Personen nach Absatz 1 Satz 1 Nummer 1 und 3 bis 7 kann von Untersuchungen nach Absatz 1 abgesehen werden, wenn ihre Tätigkeit im Rahmen eines kurzzeitigen Einsatzes erfolgt und keine Anhaltspunkte bestehen, dass dadurch die Sicherheit des Betriebes, des Beschäftigten oder Dritter gefährdet wird.</w:t>
      </w:r>
    </w:p>
    <w:p>
      <w:r>
        <w:t xml:space="preserve">(3) Personen nach Absatz 1 Satz 1 Nummer 1 sind auch auf ihre Klimatauglichkeit zu untersuchen, wenn sie in folgenden Betrieben (Klima-Betriebe) beschäftigt werden:</w:t>
      </w:r>
    </w:p>
    <w:p>
      <w:pPr>
        <w:ind w:left="420"/>
      </w:pPr>
      <w:r>
        <w:t xml:space="preserve">1. im Salzbergbau bei einer Trockentemperatur von mehr als 28 Grad Celsius oder</w:t>
      </w:r>
    </w:p>
    <w:p>
      <w:pPr>
        <w:ind w:left="420"/>
      </w:pPr>
      <w:r>
        <w:t xml:space="preserve">2. außerhalb des Salzbergbaus bei einer Trockentemperatur von mehr als 28 Grad Celsius oder einer Effektivtemperatur von mehr als 25 Grad Celsius.</w:t>
      </w:r>
    </w:p>
    <w:p>
      <w:r>
        <w:t xml:space="preserve">Die Trocken- und Effektivtemperatur bestimmt sich nach § 2 der Klima-Bergverordnung vom 9. Juni 1983 (BGBl. I S. 685) in der jeweils geltenden Fassung.</w:t>
      </w:r>
    </w:p>
    <w:p>
      <w:r>
        <w:t xml:space="preserve">(4) Eignungsuntersuchungen, die auf Grund anderer Rechtsvorschriften durchgeführt werden und nach Art, Umfang, Häufigkeit und Aufzeichnungen den Anforderungen dieser Verordnung entsprechen, stehen Eignungsuntersuchungen im Sinne des Absatzes 1 gleich.</w:t>
      </w:r>
    </w:p>
    <w:p>
      <w:r>
        <w:rPr>
          <w:color w:val="555555"/>
          <w:sz w:val="17"/>
        </w:rPr>
        <w:t xml:space="preserve">Zitiervorschlag: § 2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