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GesBergV — Staubmessungen</w:t>
      </w:r>
    </w:p>
    <w:p>
      <w:r>
        <w:rPr>
          <w:color w:val="555555"/>
          <w:sz w:val="18"/>
        </w:rPr>
        <w:t xml:space="preserve">Gesundheitsschutz-Bergverordnung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Unternehmer hat in den Betriebspunkten regelmäßig arbeitsschichtbezogene Staubmessungen auf der Grundlage eines von ihm aufzustellenden Planes durchzuführen. In dem Plan sind insbesondere festzulegen:</w:t>
      </w:r>
    </w:p>
    <w:p>
      <w:pPr>
        <w:ind w:left="420"/>
      </w:pPr>
      <w:r>
        <w:t xml:space="preserve">1. Ort, Zeitpunkt und Dauer für repräsentative Erstmessungen sowie repräsentative Wiederholungsmessungen und deren zeitliche Abstände,</w:t>
      </w:r>
    </w:p>
    <w:p>
      <w:pPr>
        <w:ind w:left="420"/>
      </w:pPr>
      <w:r>
        <w:t xml:space="preserve">2. zu verwendende Probenahme- und Meßgeräte,</w:t>
      </w:r>
    </w:p>
    <w:p>
      <w:pPr>
        <w:ind w:left="420"/>
      </w:pPr>
      <w:r>
        <w:t xml:space="preserve">3. Form und Inhalt der Meßberichte,</w:t>
      </w:r>
    </w:p>
    <w:p>
      <w:pPr>
        <w:ind w:left="420"/>
      </w:pPr>
      <w:r>
        <w:t xml:space="preserve">4. Auswertung von Proben und Messungen.</w:t>
      </w:r>
    </w:p>
    <w:p>
      <w:r>
        <w:t xml:space="preserve">(2) Die Erstmessungen zur Einstufung von Betriebspunkten sind innerhalb der ersten Betriebswoche durchzuführen. Die zeitlichen Abstände der Wiederholungsmessungen dürfen die in Anlage 8 festgelegten Fristen nicht überschreiten.</w:t>
      </w:r>
    </w:p>
    <w:p>
      <w:r>
        <w:t xml:space="preserve">(3) Die Staubmessungen darf der Unternehmer nur von Personen vornehmen lassen, die nach einem von ihm aufzustellenden Plan theoretisch und praktisch unterwiesen worden sind. In dem Plan sind mindestens festzulegen:</w:t>
      </w:r>
    </w:p>
    <w:p>
      <w:pPr>
        <w:ind w:left="420"/>
      </w:pPr>
      <w:r>
        <w:t xml:space="preserve">1. Sachgebiete und Dauer der theoretischen und praktischen Unterweisung, insbesondere</w:t>
      </w:r>
    </w:p>
    <w:p>
      <w:pPr>
        <w:ind w:left="780"/>
      </w:pPr>
      <w:r>
        <w:t xml:space="preserve">a) Funktionsweise und Handhabung von Probenahme- und Meßgeräten,</w:t>
      </w:r>
    </w:p>
    <w:p>
      <w:pPr>
        <w:ind w:left="780"/>
      </w:pPr>
      <w:r>
        <w:t xml:space="preserve">b) Durchführung und Dokumentation von Probenahmen und Messungen,</w:t>
      </w:r>
    </w:p>
    <w:p>
      <w:pPr>
        <w:ind w:left="780"/>
      </w:pPr>
      <w:r>
        <w:t xml:space="preserve">c) Auswertung von Proben und Messungen,</w:t>
      </w:r>
    </w:p>
    <w:p>
      <w:pPr>
        <w:ind w:left="780"/>
      </w:pPr>
      <w:r>
        <w:t xml:space="preserve">d) Einstufung von Betriebspunkten, deren Überwachung und Maßnahmen der Arbeitseinsatzlenkung,</w:t>
      </w:r>
    </w:p>
    <w:p>
      <w:pPr>
        <w:ind w:left="420"/>
      </w:pPr>
      <w:r>
        <w:t xml:space="preserve">2. Nachweis der Fachkunde.</w:t>
      </w:r>
    </w:p>
    <w:p>
      <w:r>
        <w:t xml:space="preserve">Die Verpflichtung nach den Sätzen 1 und 2 sowie Absatz 4 entfällt, wenn Staubmessungen oder Probenahmen von einer von der zuständigen Behörde anerkannten sachverständigen Stelle durchgeführt und ausgewertet werden.</w:t>
      </w:r>
    </w:p>
    <w:p>
      <w:r>
        <w:t xml:space="preserve">(4) Die Pläne nach den Absätzen 1 und 3 sind der zuständigen Behörde anzuzeigen.</w:t>
      </w:r>
    </w:p>
    <w:p>
      <w:r>
        <w:t xml:space="preserve">(5) (weggefallen)</w:t>
      </w:r>
    </w:p>
    <w:p>
      <w:r>
        <w:rPr>
          <w:color w:val="555555"/>
          <w:sz w:val="17"/>
        </w:rPr>
        <w:t xml:space="preserve">Zitiervorschlag: § 11 GesBergV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https://recht.nulegal.eu/gesetze/GesBergV/11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