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GesBergV — Einstufung der Betriebspunkte</w:t>
      </w:r>
    </w:p>
    <w:p>
      <w:r>
        <w:rPr>
          <w:color w:val="555555"/>
          <w:sz w:val="18"/>
        </w:rPr>
        <w:t xml:space="preserve">Gesundheitsschutz-Bergverordnung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die Betriebspunkte den in Anlage 7 festgelegten Staubbelastungsstufen zuzuordnen.</w:t>
      </w:r>
    </w:p>
    <w:p>
      <w:r>
        <w:t xml:space="preserve">(2) In Betriebspunkten, in denen Staubkonzentrationen oberhalb der für die Staubbelastungsstufe 3 geltenden Konzentrationswerte ermittelt werden, dürfen Personen nicht beschäftigt werden. Werden Staubkonzentrationen ab der für die Staubbelastungsstufe 3 zulässigen Werte gemessen, hat der Unternehmer der zuständigen Behörde unverzüglich die Messergebnisse sowie die vorgesehenen technischen und organisatorischen Maßnahmen zur Verringerung der Staubbelastung anzuzeigen.</w:t>
      </w:r>
    </w:p>
    <w:p>
      <w:r>
        <w:rPr>
          <w:color w:val="555555"/>
          <w:sz w:val="17"/>
        </w:rPr>
        <w:t xml:space="preserve">Zitiervorschlag: § 10 GesBergV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https://recht.nulegal.eu/gesetze/GesBergV/10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