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GesBergV — Räumliche und sachliche Anwendung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für gesundheitliche Eignungsuntersuchungen sowie Vorsorge- und Schutzmaßnahmen</w:t>
      </w:r>
    </w:p>
    <w:p>
      <w:pPr>
        <w:ind w:left="420"/>
      </w:pPr>
      <w:r>
        <w:t xml:space="preserve">1. in Betrieben im Anwendungsbereich des § 2 des Bundesberggesetzes vom 13. August 1980 (BGBl. I S. 1310) in der jeweils geltenden Fassung auf dem Festland und, soweit die Offshore-Bergverordnung vom 3. August 2016 (BGBl. I S. 1866) keine Regelungen enthält, im Gebiet der Küstengewässer und des Festlandsockels der Bundesrepublik Deutschland,</w:t>
      </w:r>
    </w:p>
    <w:p>
      <w:pPr>
        <w:ind w:left="420"/>
      </w:pPr>
      <w:r>
        <w:t xml:space="preserve">2. in Betrieben zur Aufsuchung und Gewinnung mineralischer Rohstoffe in Halden nach § 128 des Bundesberggesetzes,</w:t>
      </w:r>
    </w:p>
    <w:p>
      <w:pPr>
        <w:ind w:left="420"/>
      </w:pPr>
      <w:r>
        <w:t xml:space="preserve">3. in bergbaulichen Versuchsgruben, sonstigen bergbaulichen Versuchsanstalten und in Ausbildungsstätten nach § 129 des Bundesberggesetzes sowie</w:t>
      </w:r>
    </w:p>
    <w:p>
      <w:pPr>
        <w:ind w:left="420"/>
      </w:pPr>
      <w:r>
        <w:t xml:space="preserve">4. in Anlagen zur Lagerung, Sicherstellung und Endlagerung radioaktiver Stoffe nach § 126 Absatz 3 des Bundesberggesetzes.</w:t>
      </w:r>
    </w:p>
    <w:p>
      <w:r>
        <w:rPr>
          <w:color w:val="555555"/>
          <w:sz w:val="17"/>
        </w:rPr>
        <w:t xml:space="preserve">Zitiervorschlag: § 1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