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GerZahlV (Bayern)</w:t>
      </w:r>
    </w:p>
    <w:p>
      <w:r>
        <w:rPr>
          <w:color w:val="555555"/>
          <w:sz w:val="18"/>
        </w:rPr>
        <w:t xml:space="preserve">Gerichtszahlungsverordnung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Abs. 1 Satz 1 des Gesetzes über den Zahlungsverkehr mit Gerichten und Justizbehörden (ZahlVGJG) vom 22. Dezember 2006 (BGBl. I S. 3416), das durch Art. 175 der Verordnung vom 31. August 2015 (BGBl. I S. 1474) geändert worden ist, verordnet die Bayerische Staatsregierung:</w:t>
      </w:r>
    </w:p>
    <w:p>
      <w:r>
        <w:rPr>
          <w:color w:val="555555"/>
          <w:sz w:val="17"/>
        </w:rPr>
        <w:t xml:space="preserve">Zitiervorschlag: Eingangsformel GerZahlV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https://recht.nulegal.eu/gesetze/GerZahlV/eingangsformel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