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GerZahlV (Bayern) — Inkrafttreten, Außerkrafttreten</w:t>
      </w:r>
    </w:p>
    <w:p>
      <w:r>
        <w:rPr>
          <w:color w:val="555555"/>
          <w:sz w:val="18"/>
        </w:rPr>
        <w:t xml:space="preserve">Gerichtszahlungsverordnung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Oktober 2017 in Kraft.</w:t>
      </w:r>
    </w:p>
    <w:p>
      <w:r>
        <w:t xml:space="preserve">(2) Mit Ablauf des 30. September 2017 tritt die Zahlungsverkehrsverordnung Justiz/Finanz (ZahlVJuFin) vom 25. November 2008 (GVBl. S. 910, BayRS 36-5-J), die zuletzt durch Verordnung vom 19. September 2016 (GVBl. S. 286) geändert worden ist, außer Kraft.</w:t>
      </w:r>
    </w:p>
    <w:p>
      <w:r>
        <w:rPr>
          <w:color w:val="555555"/>
          <w:sz w:val="17"/>
        </w:rPr>
        <w:t xml:space="preserve">Zitiervorschlag: § 4 GerZahlV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https://recht.nulegal.eu/gesetze/GerZahlV/4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