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GerZahlV (Bayern) — Zahlungsnachweis</w:t>
      </w:r>
    </w:p>
    <w:p>
      <w:r>
        <w:rPr>
          <w:color w:val="555555"/>
          <w:sz w:val="18"/>
        </w:rPr>
        <w:t xml:space="preserve">Gerichtszahlungsverordnung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Unbare Zahlungen nach § 1 Abs. 3 sind nachzuweisen</w:t>
      </w:r>
    </w:p>
    <w:p>
      <w:r>
        <w:t xml:space="preserve">1. durch Zahlungsanzeige der zuständigen staatlichen Kasse,</w:t>
      </w:r>
    </w:p>
    <w:p>
      <w:r>
        <w:t xml:space="preserve">2. durch einen bestätigten Zahlungsbeleg des beauftragten Kreditinstituts,</w:t>
      </w:r>
    </w:p>
    <w:p>
      <w:r>
        <w:t xml:space="preserve">3. durch einen Kontoauszug des belasteten Kreditinstituts oder</w:t>
      </w:r>
    </w:p>
    <w:p>
      <w:r>
        <w:t xml:space="preserve">4. durch Abdruck des Gerichtskostenstemplers.</w:t>
      </w:r>
    </w:p>
    <w:p>
      <w:r>
        <w:t xml:space="preserve">Die Zahlungsanzeige der zuständigen staatlichen Kasse ist entbehrlich, wenn die jeweilige Dienststelle den Zahlungseingang durch elektronischen Zugriff auf die Daten der Kasse selbst feststellen und aktenkundig machen kann.</w:t>
      </w:r>
    </w:p>
    <w:p>
      <w:r>
        <w:t xml:space="preserve">(2) Der Zahlungsnachweis ist nur erbracht, wenn</w:t>
      </w:r>
    </w:p>
    <w:p>
      <w:r>
        <w:t xml:space="preserve">1. bei Einreichung eines mit einer Zahlung verbundenen Antrags auf die gewählte Zahlungsart hingewiesen wird und</w:t>
      </w:r>
    </w:p>
    <w:p>
      <w:r>
        <w:t xml:space="preserve">2. in den Fällen des § 1 Abs. 3 Nr. 1 und 2 der Anlass der Zahlung so genau bezeichnet wird, dass ihre eindeutige Zuordnung möglich ist.</w:t>
      </w:r>
    </w:p>
    <w:p>
      <w:r>
        <w:rPr>
          <w:color w:val="555555"/>
          <w:sz w:val="17"/>
        </w:rPr>
        <w:t xml:space="preserve">Zitiervorschlag: § 2 GerZahlV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https://recht.nulegal.eu/gesetze/GerZahlV/2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