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GerZahlV (Bayern) — Gerichtlicher Zahlungsverkehr</w:t>
      </w:r>
    </w:p>
    <w:p>
      <w:r>
        <w:rPr>
          <w:color w:val="555555"/>
          <w:sz w:val="18"/>
        </w:rPr>
        <w:t xml:space="preserve">Gerichtszahlungsverordnung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Zahlungen an Gerichte und Justizbehörden sind vorbehaltlich anderer gesetzlicher Regelung unbar auf einem der in Abs. 3 benannten Wege zu leisten. Dies gilt nicht für Zahlungen an Gerichtsvollzieherinnen und Gerichtsvollzieher.</w:t>
      </w:r>
    </w:p>
    <w:p>
      <w:r>
        <w:t xml:space="preserve">(2) Abweichend von Abs. 1 ist Barzahlung in Form von Bargeld möglich, wenn</w:t>
      </w:r>
    </w:p>
    <w:p>
      <w:r>
        <w:t xml:space="preserve">1. der oder dem Zahlungspflichtigen eine unbare Zahlung nicht möglich ist,</w:t>
      </w:r>
    </w:p>
    <w:p>
      <w:r>
        <w:t xml:space="preserve">2. ein Betrag von höchstens 50 € zu entrichten ist,</w:t>
      </w:r>
    </w:p>
    <w:p>
      <w:r>
        <w:t xml:space="preserve">3. Eile geboten ist,</w:t>
      </w:r>
    </w:p>
    <w:p>
      <w:r>
        <w:t xml:space="preserve">4. konkrete Anhaltspunkte dafür sprechen, dass die Einziehung im Vollstreckungsweg bei der oder dem Zahlungspflichtigen nicht möglich ist,</w:t>
      </w:r>
    </w:p>
    <w:p>
      <w:r>
        <w:t xml:space="preserve">5. Produkte bei Veranstaltungen verkauft werden, die für die Öffentlichkeit zugänglich sind,</w:t>
      </w:r>
    </w:p>
    <w:p>
      <w:r>
        <w:t xml:space="preserve">6. Eintrittsgelder entrichtet werden,</w:t>
      </w:r>
    </w:p>
    <w:p>
      <w:r>
        <w:t xml:space="preserve">7. Speisen und Getränke in justiz- oder finanzgerichtseigenen Einrichtungen verkauft werden oder</w:t>
      </w:r>
    </w:p>
    <w:p>
      <w:r>
        <w:t xml:space="preserve">8. Produkte an Kleinverbraucher unter Einsatz von Registrierkassen verkauft werden.</w:t>
      </w:r>
    </w:p>
    <w:p>
      <w:r>
        <w:t xml:space="preserve">(3) Unbare Zahlungen können erfolgen im Weg der</w:t>
      </w:r>
    </w:p>
    <w:p>
      <w:r>
        <w:t xml:space="preserve">1. Einzahlung oder Überweisung auf ein Konto der zuständigen staatlichen Kasse,</w:t>
      </w:r>
    </w:p>
    <w:p>
      <w:r>
        <w:t xml:space="preserve">2. Erteilung eines SEPA-Lastschriftmandates zugunsten der zuständigen staatlichen Kasse, wenn keine Anhaltspunkte dafür vorliegen, dass die Forderung auf diesem Weg nicht eingezogen werden kann,</w:t>
      </w:r>
    </w:p>
    <w:p>
      <w:r>
        <w:t xml:space="preserve">3. Verwendung eines Gerichtskostenstemplers oder</w:t>
      </w:r>
    </w:p>
    <w:p>
      <w:r>
        <w:t xml:space="preserve">4. Zahlung mittels Kartenzahlverfahren, wo dies staatlicherseits angeboten wird.</w:t>
      </w:r>
    </w:p>
    <w:p>
      <w:r>
        <w:t xml:space="preserve">(4) Im Bereich der Verwaltungsgerichtsbarkeit sind ausschließlich unbare Zahlungen im Sinne von Abs. 3 Nr. 1 zulässig; Abs. 2 findet keine Anwendung.</w:t>
      </w:r>
    </w:p>
    <w:p>
      <w:r>
        <w:rPr>
          <w:color w:val="555555"/>
          <w:sz w:val="17"/>
        </w:rPr>
        <w:t xml:space="preserve">Zitiervorschlag: § 1 GerZahlV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https://recht.nulegal.eu/gesetze/GerZahlV/1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