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GerZV (Brandenburg) — Zuständigkeitskonzentrationen in Landwirtschaftssachen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Amtsgerichte</w:t>
      </w:r>
    </w:p>
    <w:p>
      <w:r>
        <w:t xml:space="preserve">Cottbus für den Landgerichtsbezirk Cottbus,</w:t>
      </w:r>
    </w:p>
    <w:p>
      <w:r>
        <w:t xml:space="preserve">Frankfurt (Oder) für den Landgerichtsbezirk Frankfurt (Oder),</w:t>
      </w:r>
    </w:p>
    <w:p>
      <w:r>
        <w:t xml:space="preserve">Neuruppin für den Landgerichtsbezirk Neuruppin und</w:t>
      </w:r>
    </w:p>
    <w:p>
      <w:r>
        <w:t xml:space="preserve">Rathenow für den Landgerichtsbezirk Potsdam</w:t>
      </w:r>
    </w:p>
    <w:p>
      <w:r>
        <w:t xml:space="preserve">sind zuständig für Verfahren nach § 1 des Gesetzes über gerichtliche Verfahren in Landwirtschaftssachen und nach § 65 des Landwirtschaftsanpassungsgesetzes.</w:t>
      </w:r>
    </w:p>
    <w:p>
      <w:r>
        <w:rPr>
          <w:color w:val="555555"/>
          <w:sz w:val="17"/>
        </w:rPr>
        <w:t xml:space="preserve">Zitiervorschlag: § 8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