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GerZV (Brandenburg) — Inkrafttreten, Außerkrafttreten</w:t>
      </w:r>
    </w:p>
    <w:p>
      <w:r>
        <w:rPr>
          <w:color w:val="555555"/>
          <w:sz w:val="18"/>
        </w:rPr>
        <w:t xml:space="preserve">Gerichtszuständigkeitsverordnung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Diese Verordnung tritt am 1. Oktober 2014 in Kraft. Gleichzeitig tritt die Zweite Gerichtszuständigkeits-Verordnung vom 8. Mai 2007 (GVBl. II S. 113), die zuletzt durch Verordnung vom 18. Juli 2012 (GVBl. II Nr. 60) geändert worden ist, außer Kraft.</w:t>
      </w:r>
    </w:p>
    <w:p>
      <w:r>
        <w:t xml:space="preserve">Potsdam, den 2. September 2014</w:t>
      </w:r>
    </w:p>
    <w:p>
      <w:r>
        <w:t xml:space="preserve">Der Minister der Justiz</w:t>
      </w:r>
    </w:p>
    <w:p>
      <w:r>
        <w:t xml:space="preserve">Dr. Helmuth Markov</w:t>
      </w:r>
    </w:p>
    <w:p>
      <w:r>
        <w:rPr>
          <w:color w:val="555555"/>
          <w:sz w:val="17"/>
        </w:rPr>
        <w:t xml:space="preserve">Zitiervorschlag: § 20 GerZV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https://recht.nulegal.eu/gesetze/GerZV/20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