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GerZV (Brandenburg) — Übergangsvorschriften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Für die bis zum Zeitpunkt des Inkrafttretens der Verordnung anhängigen Verfahren bleibt es bei der bisherigen Zuständigkeit.</w:t>
      </w:r>
    </w:p>
    <w:p>
      <w:r>
        <w:t xml:space="preserve">(2) Für Verfahren, die vor dem Inkrafttreten einer Verordnungsänderung anhängig geworden sind, bleibt es vorbehaltlich des Absatzes 3 bei der bisherigen Zuständigkeit.</w:t>
      </w:r>
    </w:p>
    <w:p>
      <w:r>
        <w:t xml:space="preserve">(3) Verfahren nach § 12, die zum 14. Mai 2026 bei dem Amtsgericht Luckenwalde anhängig sind, gehen auf das Amtsgericht Potsdam über.</w:t>
      </w:r>
    </w:p>
    <w:p>
      <w:r>
        <w:rPr>
          <w:color w:val="555555"/>
          <w:sz w:val="17"/>
        </w:rPr>
        <w:t xml:space="preserve">Zitiervorschlag: § 19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