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GerZV (Brandenburg) — Bereitschaftsdienstkonzentrationen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aufgehoben</w:t>
      </w:r>
    </w:p>
    <w:p>
      <w:r>
        <w:t xml:space="preserve">(2) Die Geschäfte des Bereitschaftsdienstes nimmt gemäß § 22c Absatz 1 Satz 1 Alternative 2 des Gerichtsverfassungsgesetzes folgendes Amtsgericht wahr:</w:t>
      </w:r>
    </w:p>
    <w:p>
      <w:r>
        <w:t xml:space="preserve">im Landgerichtsbezirk Neuruppin das Amtsgericht Neuruppin für die Amtsgerichte Oranienburg, Perleberg, Prenzlau, Schwedt/Oder und Zehdenick,</w:t>
      </w:r>
    </w:p>
    <w:p>
      <w:r>
        <w:t xml:space="preserve">im Landgerichtsbezirk Potsdam das Amtsgericht Potsdam für die Amtsgerichte Brandenburg an der Havel, Luckenwalde, Nauen, Rathenow und Zossen,</w:t>
      </w:r>
    </w:p>
    <w:p>
      <w:r>
        <w:t xml:space="preserve">im Landgerichtsbezirk Cottbus das Amtsgericht Königs Wusterhausen für das Amtsgericht Lübben (Spreewald),</w:t>
      </w:r>
    </w:p>
    <w:p>
      <w:r>
        <w:t xml:space="preserve">im Landgerichtsbezirk Frankfurt (Oder) das Amtsgericht Fürstenwalde/Spree für die Amts-</w:t>
      </w:r>
    </w:p>
    <w:p>
      <w:r>
        <w:t xml:space="preserve">gerichte Bad Freienwalde (Oder), Bernau bei Berlin, Eberswalde, Frankfurt (Oder) und Strausberg.</w:t>
      </w:r>
    </w:p>
    <w:p>
      <w:r>
        <w:t xml:space="preserve">(3) In den Fällen des Absatzes 2 Nummer 1 und 2 sind zu dem Bereitschaftsdienst auch die Richterinnen und Richter des Landgerichts heranzuziehen.</w:t>
      </w:r>
    </w:p>
    <w:p>
      <w:r>
        <w:t xml:space="preserve">(4) Die Ausgestaltung des Bereitschaftsdienstplanes, insbesondere die Bereitschaftsdienstzeiten, die Abgrenzung der Zuständigkeit nach dem Bereitschaftsdienstplan von der Zuständigkeit nach dem allgemeinen Geschäftsverteilungsplan und die Angabe des zuständigen Bereitschaftsdienstgerichtes regeln die nach § 22c Absatz 1 Satz 4 und 5 des Gerichtsverfassungsgesetzes zuständigen Präsidien nach Maßgabe des § 21e des Gerichtsverfassungsgesetzes.</w:t>
      </w:r>
    </w:p>
    <w:p>
      <w:r>
        <w:rPr>
          <w:color w:val="555555"/>
          <w:sz w:val="17"/>
        </w:rPr>
        <w:t xml:space="preserve">Zitiervorschlag: § 14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