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GerZV (Brandenburg) — Baulandsachen und verwandte Verfahren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 Landgerichte Frankfurt (Oder) für die Landgerichtsbezirke Cottbus und Frankfurt (Oder) und Neuruppin für die Landgerichtsbezirke Neuruppin und Potsdam sind zuständig</w:t>
      </w:r>
    </w:p>
    <w:p>
      <w:r>
        <w:t xml:space="preserve">in den in § 217 Absatz 1 des Baugesetzbuches genannten Fällen und</w:t>
      </w:r>
    </w:p>
    <w:p>
      <w:r>
        <w:t xml:space="preserve">für die gerichtliche Entscheidung über die Anfechtung von Entscheidungen der Enteignungsbehörde gemäß § 50 des Enteignungsgesetzes des Landes Brandenburg.</w:t>
      </w:r>
    </w:p>
    <w:p>
      <w:r>
        <w:rPr>
          <w:color w:val="555555"/>
          <w:sz w:val="17"/>
        </w:rPr>
        <w:t xml:space="preserve">Zitiervorschlag: § 10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