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GerPsychFWV (Brandenburg) — Widerruf und Erlöschen der Zulassung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Zulassung für die Weiterbildung zur Fachkraft für gerontopsychiatrische Betreuung und Pflege ist zu widerrufen, wenn die Voraussetzungen nach § 4 Abs. 2 zum Zeitpunkt der Zulassung nicht vorgelegen haben oder später weggefallen sind.</w:t>
      </w:r>
    </w:p>
    <w:p>
      <w:r>
        <w:t xml:space="preserve">(2) Die Zulassung kann widerrufen werden, wenn die Weiterbildungsstätte ihren Verpflichtungen nach dieser Verordnung nicht nachkommt, insbesondere wenn die Ausbildung qualitativ nicht den Anforderungen nach dieser Verordnung entspricht.</w:t>
      </w:r>
    </w:p>
    <w:p>
      <w:r>
        <w:t xml:space="preserve">(3) Die Zulassung erlischt, wenn die Weiterbildungsstätte in vier aufeinander folgenden Kalenderjahren keine Weiterbildung nach dieser Verordnung durchgeführt hat.</w:t>
      </w:r>
    </w:p>
    <w:p>
      <w:r>
        <w:rPr>
          <w:color w:val="555555"/>
          <w:sz w:val="17"/>
        </w:rPr>
        <w:t xml:space="preserve">Zitiervorschlag: § 5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