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GerPsychFWV (Brandenburg) — Gleichwertigkeit von Abschlüssen</w:t>
      </w:r>
    </w:p>
    <w:p>
      <w:r>
        <w:rPr>
          <w:color w:val="555555"/>
          <w:sz w:val="18"/>
        </w:rPr>
        <w:t xml:space="preserve">Gerontopsychiatrische Fachkraft-Weiterbildungsverordnung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Ein Abschluss als Fachkraft für gerontopsychiatrische Betreuung und Pflege, der außerhalb des Landes Brandenburg erworben wurde, wird auf Antrag von der zuständigen Behörde anerkannt, wenn dieser den Anforderungen dieser Verordnung gleichwertig ist.</w:t>
      </w:r>
    </w:p>
    <w:p>
      <w:r>
        <w:rPr>
          <w:color w:val="555555"/>
          <w:sz w:val="17"/>
        </w:rPr>
        <w:t xml:space="preserve">Zitiervorschlag: § 20 GerPsychFWV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https://recht.nulegal.eu/gesetze/GerPsychFWV/20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