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GerPräsWO — Briefwahl</w:t>
      </w:r>
    </w:p>
    <w:p>
      <w:r>
        <w:rPr>
          <w:color w:val="555555"/>
          <w:sz w:val="18"/>
        </w:rPr>
        <w:t xml:space="preserve">Wahlordnung für die Präsidien der Gerichte</w:t>
      </w:r>
    </w:p>
    <w:p>
      <w:r>
        <w:rPr>
          <w:color w:val="555555"/>
          <w:sz w:val="18"/>
        </w:rPr>
        <w:t xml:space="preserve">Stand: 10.06.2019 (konsolidierte Textfassung, kein amtliches Inkrafttretensdatum)</w:t>
      </w:r>
    </w:p>
    <w:p>
      <w:r>
        <w:t xml:space="preserve">(1) Den wahlberechtigten Mitgliedern des Gerichts, die</w:t>
      </w:r>
    </w:p>
    <w:p>
      <w:pPr>
        <w:ind w:left="420"/>
      </w:pPr>
      <w:r>
        <w:t xml:space="preserve">1. einem auswärtigen Spruchkörper oder einer Zweigstelle des Gerichts angehören oder für nicht mehr als drei Monate an ein anderes Gericht abgeordnet sind,</w:t>
      </w:r>
    </w:p>
    <w:p>
      <w:pPr>
        <w:ind w:left="420"/>
      </w:pPr>
      <w:r>
        <w:t xml:space="preserve">2. aus sonstigen Gründen an einer Stimmabgabe nach § 5 Abs. 3 verhindert sind und dies dem Wahlvorstand rechtzeitig anzeigen,</w:t>
      </w:r>
    </w:p>
    <w:p>
      <w:r>
        <w:t xml:space="preserve">leitet der Wahlvorstand einen Stimmzettel und einen Wahlumschlag sowie einen größeren Freiumschlag zu, der die Anschrift des Wahlvorstandes und als Absender die Anschrift des wahlberechtigten Mitglieds des Gerichts sowie den Vermerk "Schriftliche Stimmabgabe zur Wahl des Präsidiums" trägt. Er übersendet außerdem eine vorgedruckte, vom Wähler abzugebende Erklärung, in der dieser dem Wahlvorstand gegenüber versichert, daß er den Stimmzettel persönlich gekennzeichnet hat. Die Absendung ist in der Wählerliste zu vermerken.</w:t>
      </w:r>
    </w:p>
    <w:p>
      <w:r>
        <w:t xml:space="preserve">(2) In einem besonderen Schreiben ist zugleich anzugeben, bis zu welchem Zeitpunkt spätestens der Stimmzettel bei dem Wahlvorstand eingegangen sein muß.</w:t>
      </w:r>
    </w:p>
    <w:p>
      <w:r>
        <w:t xml:space="preserve">(3) Der Wähler gibt seine Stimme ab, indem er auf dem Stimmzettel einen oder mehrere Namen von Richtern ankreuzt und den Stimmzettel im verschlossenen Wahlumschlag unter Verwendung des Freiumschlages und Beifügung der von ihm unterzeichneten vorgedruckten Erklärung dem Wahlvorstand übermittelt. Die Stimmabgabe kann vor dem Wahltag erfolgen.</w:t>
      </w:r>
    </w:p>
    <w:p>
      <w:r>
        <w:t xml:space="preserve">(4) Während der Wahlzeit vermerkt ein Mitglied des Wahlvorstandes die Absender der bei dem Wahlvorstand eingegangenen Briefe im Wählerverzeichnis, entnimmt den Briefen die Wahlumschläge und legt diese ungeöffnet in die Wahlurne. Die vorgedruckten Erklärungen sind zu den Wahlunterlagen zu nehmen. Briefe, die ohne die vorgedruckte Erklärung bei dem Wahlvorstand eingehen, sind mit dem darin enthaltenen Wahlumschlag sowie mit einem entsprechenden Vermerk des Wahlvorstandes zu den Wahlunterlagen zu nehmen. Nach Ablauf der Wahlzeit eingehende Briefe sind unter Vermerk des Eingangszeitpunktes ungeöffnet zu den Wahlunterlagen zu nehmen.</w:t>
      </w:r>
    </w:p>
    <w:p>
      <w:r>
        <w:rPr>
          <w:color w:val="555555"/>
          <w:sz w:val="17"/>
        </w:rPr>
        <w:t xml:space="preserve">Zitiervorschlag: § 7 GerPräsWO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https://recht.nulegal.eu/gesetze/GerPr%C3%A4sWO/7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