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GerPräsWO — Wahlhandlung</w:t>
      </w:r>
    </w:p>
    <w:p>
      <w:r>
        <w:rPr>
          <w:color w:val="555555"/>
          <w:sz w:val="18"/>
        </w:rPr>
        <w:t xml:space="preserve">Wahlordnung für die Präsidien der Gerichte</w:t>
      </w:r>
    </w:p>
    <w:p>
      <w:r>
        <w:rPr>
          <w:color w:val="555555"/>
          <w:sz w:val="18"/>
        </w:rPr>
        <w:t xml:space="preserve">Stand: 10.06.2019 (konsolidierte Textfassung, kein amtliches Inkrafttretensdatum)</w:t>
      </w:r>
    </w:p>
    <w:p>
      <w:r>
        <w:t xml:space="preserve">(1) Das Wahlrecht wird durch Abgabe eines Stimmzettels in einem Wahlumschlag ausgeübt.</w:t>
      </w:r>
    </w:p>
    <w:p>
      <w:r>
        <w:t xml:space="preserve">(2) Auf dem Stimmzettel sind die Anzahl der zu wählenden Richter sowie die Namen der wählbaren Richter in alphabetischer Reihenfolge untereinander aufzuführen. Nicht aufzuführen sind die Namen der Richter, die dem Präsidium angehören und deren Amtszeit noch nicht abläuft.</w:t>
      </w:r>
    </w:p>
    <w:p>
      <w:r>
        <w:t xml:space="preserve">(3) Der Wähler gibt seine Stimme ab, indem er auf dem Stimmzettel einen oder mehrere Namen von Richtern ankreuzt und den Stimmzettel im verschlossenen Wahlumschlag in die Wahlurne legt.</w:t>
      </w:r>
    </w:p>
    <w:p>
      <w:r>
        <w:rPr>
          <w:color w:val="555555"/>
          <w:sz w:val="17"/>
        </w:rPr>
        <w:t xml:space="preserve">Zitiervorschlag: § 5 GerPräsWO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https://recht.nulegal.eu/gesetze/GerPr%C3%A4sWO/5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