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GerüstbPrV — Bewerten der Prüfungsleistungen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fachtheoretischen Teil sind als Prüfungsleistungen die vier schriftlichen Prüfungen in jedem Prüfungsfach nach § 4 Absatz 1 zu bewerten. Ist in einem Prüfungsfach auch eine mündliche Prüfung nach § 4 Absatz 7 durchgeführt worden, so wird als Bewertung dieses Prüfungsfachs das arithmetische Mittel aus der Bewertung der schriftlichen und der mündlichen Prüfung berechnet.</w:t>
      </w:r>
    </w:p>
    <w:p>
      <w:r>
        <w:t xml:space="preserve">(3) Im fachpraktischen Teil sind die Prüfungsleistungen in den beiden Prüfungsfächern nach § 5 Absatz 1 zu bewerten.</w:t>
      </w:r>
    </w:p>
    <w:p>
      <w:r>
        <w:rPr>
          <w:color w:val="555555"/>
          <w:sz w:val="17"/>
        </w:rPr>
        <w:t xml:space="preserve">Zitiervorschlag: § 7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