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GerüstbPrV — Gliederung der Prüfung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einen fachtheoretischen Teil und</w:t>
      </w:r>
    </w:p>
    <w:p>
      <w:pPr>
        <w:ind w:left="420"/>
      </w:pPr>
      <w:r>
        <w:t xml:space="preserve">2. einen fachpraktischen Teil.</w:t>
      </w:r>
    </w:p>
    <w:p>
      <w:r>
        <w:t xml:space="preserve">(2) Die Prüfungsteile können an verschiedenen Prüfungsterminen geprüft werden; dabei ist mit dem letzten Prüfungsteil spätestens ein Jahr nach dem ersten Prüfungstag des bereits abgelegten Prüfungsteils zu beginnen.</w:t>
      </w:r>
    </w:p>
    <w:p>
      <w:r>
        <w:rPr>
          <w:color w:val="555555"/>
          <w:sz w:val="17"/>
        </w:rPr>
        <w:t xml:space="preserve">Zitiervorschlag: § 3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