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GerüstbMstrV</w:t>
      </w:r>
    </w:p>
    <w:p>
      <w:r>
        <w:rPr>
          <w:color w:val="555555"/>
          <w:sz w:val="18"/>
        </w:rPr>
        <w:t xml:space="preserve">Gerüstbauermeisterverordnung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24. September 1998 (BGBl. I S. 3074) in Verbindung mit Artikel 56 Abs. 1 des Zuständigkeitsanpassungs-Gesetzes vom 18. März 1975 (BGBl. I S. 705) und dem Organisationserlass vom 27. Oktober 1998 (BGBl. I S. 3288)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GerüstbMstrV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