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GerüstbMstrV — Gliederung, Prüfungsdauer und Bestehen des Teils I</w:t>
      </w:r>
    </w:p>
    <w:p>
      <w:r>
        <w:rPr>
          <w:color w:val="555555"/>
          <w:sz w:val="18"/>
        </w:rPr>
        <w:t xml:space="preserve">Gerüstbauermeisterverordnung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t xml:space="preserve">(2) Die Anfertigung des Meisterprüfungsprojekts soll nicht länger als drei Arbeitstage, das Fachgespräch nicht länger als 30 Minuten dauern. Die Ausführung der Situationsaufgabe soll vier Stunden nicht überschreiten.</w:t>
      </w:r>
    </w:p>
    <w:p>
      <w:r>
        <w:t xml:space="preserve">(3)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3 : 1 gewichtet.</w:t>
      </w:r>
    </w:p>
    <w:p>
      <w:r>
        <w:t xml:space="preserve">(4)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3 GerüstbMstrV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