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GerüstbMstrV — Gliederung und Inhalt der Meisterprüfung</w:t>
      </w:r>
    </w:p>
    <w:p>
      <w:r>
        <w:rPr>
          <w:color w:val="555555"/>
          <w:sz w:val="18"/>
        </w:rPr>
        <w:t xml:space="preserve">Gerüstbauermeisterverordnung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Meisterprüfung im Gerüstbauer-Handwerk umfasst folgende selbständige Prüfungsteile:</w:t>
      </w:r>
    </w:p>
    <w:p>
      <w:pPr>
        <w:ind w:left="420"/>
      </w:pPr>
      <w:r>
        <w:t xml:space="preserve">1. die Prüfung der meisterhaften Verrichtung der gebräuchlichen Arbeiten (Teil I),</w:t>
      </w:r>
    </w:p>
    <w:p>
      <w:pPr>
        <w:ind w:left="420"/>
      </w:pPr>
      <w:r>
        <w:t xml:space="preserve">2. die Prüfung der erforderlichen fachtheoretischen Kenntnisse (Teil II),</w:t>
      </w:r>
    </w:p>
    <w:p>
      <w:pPr>
        <w:ind w:left="420"/>
      </w:pPr>
      <w:r>
        <w:t xml:space="preserve">3. die Prüfung der erforderlichen betriebswirtschaftlichen, kaufmännischen und rechtlichen Kenntnisse (Teil III) und</w:t>
      </w:r>
    </w:p>
    <w:p>
      <w:pPr>
        <w:ind w:left="420"/>
      </w:pPr>
      <w:r>
        <w:t xml:space="preserve">4. die Prüfung der erforderlichen berufs- und arbeitspädagogischen Kenntnisse (Teil IV).</w:t>
      </w:r>
    </w:p>
    <w:p>
      <w:r>
        <w:rPr>
          <w:color w:val="555555"/>
          <w:sz w:val="17"/>
        </w:rPr>
        <w:t xml:space="preserve">Zitiervorschlag: § 1 GerüstbMstrV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https://recht.nulegal.eu/gesetze/Ger%C3%BCstbMstrV/1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