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GerüstbAusbV 2000 — Inkrafttreten, Außerkrafttreten</w:t>
      </w:r>
    </w:p>
    <w:p>
      <w:r>
        <w:rPr>
          <w:color w:val="555555"/>
          <w:sz w:val="18"/>
        </w:rPr>
        <w:t xml:space="preserve">Verordnung über die Berufsausbildung zum Gerüstbauer/zur Gerüstbauerin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2000 in Kraft.</w:t>
      </w:r>
    </w:p>
    <w:p>
      <w:r>
        <w:rPr>
          <w:color w:val="555555"/>
          <w:sz w:val="17"/>
        </w:rPr>
        <w:t xml:space="preserve">Zitiervorschlag: § 11 GerüstbAusbV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https://recht.nulegal.eu/gesetze/Ger%C3%BCstbAusbV%202000/11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