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GerüstbAusbV 2000 — Übergangsregelung</w:t>
      </w:r>
    </w:p>
    <w:p>
      <w:r>
        <w:rPr>
          <w:color w:val="555555"/>
          <w:sz w:val="18"/>
        </w:rPr>
        <w:t xml:space="preserve">Verordnung über die Berufsausbildung zum Gerüstbauer/zur Gerüstbauerin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Berufsausbildungsverhältnisse, die bei Inkrafttreten dieser Verordnung bestehen, sind die bisherigen Vorschriften weiter anzuwenden, es sei denn, die Vertragsparteien vereinbaren die Anwendung der Vorschriften dieser Verordnung.</w:t>
      </w:r>
    </w:p>
    <w:p>
      <w:r>
        <w:rPr>
          <w:color w:val="555555"/>
          <w:sz w:val="17"/>
        </w:rPr>
        <w:t xml:space="preserve">Zitiervorschlag: § 10 GerüstbAusbV 2000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https://recht.nulegal.eu/gesetze/Ger%C3%BCstbAusbV%202000/10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