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GerüstbArbbV 9 — Inkrafttreten</w:t>
      </w:r>
    </w:p>
    <w:p>
      <w:r>
        <w:rPr>
          <w:color w:val="555555"/>
          <w:sz w:val="18"/>
        </w:rPr>
        <w:t xml:space="preserve">Neunte Gerüstbauerarbeitsbedingungenverordnung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am 1. Januar 2026 in Kraft.</w:t>
      </w:r>
    </w:p>
    <w:p>
      <w:r>
        <w:rPr>
          <w:color w:val="555555"/>
          <w:sz w:val="17"/>
        </w:rPr>
        <w:t xml:space="preserve">Zitiervorschlag: § 3 GerüstbArbbV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https://recht.nulegal.eu/gesetze/Ger%C3%BCstbArbbV%209/3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GerüstbArbbV 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